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FB08" w14:textId="77777777" w:rsidR="00C447BE" w:rsidRPr="0096554D" w:rsidRDefault="00C447BE" w:rsidP="00C447BE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bookmarkStart w:id="0" w:name="_Hlk81402067"/>
      <w:r w:rsidRPr="0096554D">
        <w:rPr>
          <w:b/>
          <w:sz w:val="28"/>
          <w:szCs w:val="28"/>
        </w:rPr>
        <w:t xml:space="preserve">Oriënteren op de stagebeoordeling met een Single Point </w:t>
      </w:r>
      <w:proofErr w:type="spellStart"/>
      <w:r w:rsidRPr="0096554D">
        <w:rPr>
          <w:b/>
          <w:sz w:val="28"/>
          <w:szCs w:val="28"/>
        </w:rPr>
        <w:t>Rubric</w:t>
      </w:r>
      <w:proofErr w:type="spellEnd"/>
    </w:p>
    <w:p w14:paraId="06AD40C5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3F9A7765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 w:rsidRPr="009F5B96">
        <w:rPr>
          <w:sz w:val="24"/>
          <w:szCs w:val="24"/>
        </w:rPr>
        <w:t>D</w:t>
      </w:r>
      <w:r>
        <w:rPr>
          <w:sz w:val="24"/>
          <w:szCs w:val="24"/>
        </w:rPr>
        <w:t xml:space="preserve">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in dit document i</w:t>
      </w:r>
      <w:r w:rsidRPr="009F5B96">
        <w:rPr>
          <w:sz w:val="24"/>
          <w:szCs w:val="24"/>
        </w:rPr>
        <w:t>s een bewerk</w:t>
      </w:r>
      <w:r>
        <w:rPr>
          <w:sz w:val="24"/>
          <w:szCs w:val="24"/>
        </w:rPr>
        <w:t xml:space="preserve">te versie </w:t>
      </w:r>
      <w:r w:rsidRPr="009F5B96">
        <w:rPr>
          <w:sz w:val="24"/>
          <w:szCs w:val="24"/>
        </w:rPr>
        <w:t xml:space="preserve">van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Professional, Pedagoog en Vakdidacticus uit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 xml:space="preserve">Stages </w:t>
      </w:r>
      <w:r w:rsidRPr="009F5B96">
        <w:rPr>
          <w:sz w:val="24"/>
          <w:szCs w:val="24"/>
        </w:rPr>
        <w:t xml:space="preserve">van de Radboud Docenten Academie. </w:t>
      </w:r>
      <w:r>
        <w:rPr>
          <w:sz w:val="24"/>
          <w:szCs w:val="24"/>
        </w:rPr>
        <w:t xml:space="preserve">Deze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is bedoeld als gespreksdocument, NIET als beoordelingsformulier.</w:t>
      </w:r>
      <w:r w:rsidRPr="00AF1193">
        <w:rPr>
          <w:sz w:val="24"/>
          <w:szCs w:val="24"/>
        </w:rPr>
        <w:t xml:space="preserve"> </w:t>
      </w:r>
      <w:r>
        <w:rPr>
          <w:sz w:val="24"/>
          <w:szCs w:val="24"/>
        </w:rPr>
        <w:t>Gebruik voor de beoordeling het originele formulier in pdf. U vindt dit op de website van de Radboud Docenten Academie.</w:t>
      </w:r>
    </w:p>
    <w:p w14:paraId="23E32F84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5DA29BEA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 w:rsidRPr="003001F8">
        <w:rPr>
          <w:sz w:val="24"/>
          <w:szCs w:val="24"/>
        </w:rPr>
        <w:t xml:space="preserve">Deze </w:t>
      </w:r>
      <w:r>
        <w:rPr>
          <w:sz w:val="24"/>
          <w:szCs w:val="24"/>
        </w:rPr>
        <w:t>versie bevat de eisen bij de</w:t>
      </w:r>
      <w:r w:rsidRPr="003001F8">
        <w:rPr>
          <w:sz w:val="24"/>
          <w:szCs w:val="24"/>
        </w:rPr>
        <w:t xml:space="preserve"> volgende </w:t>
      </w:r>
      <w:r>
        <w:rPr>
          <w:sz w:val="24"/>
          <w:szCs w:val="24"/>
        </w:rPr>
        <w:t>beoordelingsmomenten:</w:t>
      </w:r>
    </w:p>
    <w:p w14:paraId="04AF445D" w14:textId="77777777" w:rsidR="000F2EE5" w:rsidRDefault="000F2EE5" w:rsidP="000F2EE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1-jarige Master </w:t>
      </w:r>
      <w:r>
        <w:rPr>
          <w:sz w:val="24"/>
          <w:szCs w:val="24"/>
        </w:rPr>
        <w:t xml:space="preserve">Zelfstandige </w:t>
      </w:r>
      <w:r w:rsidRPr="00323258">
        <w:rPr>
          <w:sz w:val="24"/>
          <w:szCs w:val="24"/>
        </w:rPr>
        <w:t>Stage</w:t>
      </w:r>
    </w:p>
    <w:p w14:paraId="43665D42" w14:textId="77777777" w:rsidR="00C447BE" w:rsidRPr="00323258" w:rsidRDefault="00C447BE" w:rsidP="00C447B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2-jarige Master </w:t>
      </w:r>
      <w:r>
        <w:rPr>
          <w:sz w:val="24"/>
          <w:szCs w:val="24"/>
        </w:rPr>
        <w:t xml:space="preserve">Zelfstandige </w:t>
      </w:r>
      <w:r w:rsidRPr="00323258">
        <w:rPr>
          <w:sz w:val="24"/>
          <w:szCs w:val="24"/>
        </w:rPr>
        <w:t xml:space="preserve">Stage </w:t>
      </w:r>
      <w:r>
        <w:rPr>
          <w:sz w:val="24"/>
          <w:szCs w:val="24"/>
        </w:rPr>
        <w:t>2</w:t>
      </w:r>
    </w:p>
    <w:p w14:paraId="23EAF3CB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16296CF1" w14:textId="3014AAD8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Bij deze beoordeling is het streefniveau 4 voor alle criteria. Daarom bevat deze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alle criteria en niveaus die ook in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>Stages staan.</w:t>
      </w:r>
    </w:p>
    <w:p w14:paraId="653085F8" w14:textId="11905DA1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6A64977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4E452454" w14:textId="77777777" w:rsidR="00C447BE" w:rsidRPr="0096554D" w:rsidRDefault="00C447BE" w:rsidP="00C447BE">
      <w:pPr>
        <w:spacing w:after="0" w:line="240" w:lineRule="auto"/>
        <w:rPr>
          <w:b/>
          <w:bCs/>
          <w:sz w:val="24"/>
          <w:szCs w:val="24"/>
        </w:rPr>
      </w:pPr>
      <w:r w:rsidRPr="0096554D">
        <w:rPr>
          <w:b/>
          <w:bCs/>
          <w:sz w:val="24"/>
          <w:szCs w:val="24"/>
        </w:rPr>
        <w:t xml:space="preserve">Waarom </w:t>
      </w:r>
      <w:r>
        <w:rPr>
          <w:b/>
          <w:bCs/>
          <w:sz w:val="24"/>
          <w:szCs w:val="24"/>
        </w:rPr>
        <w:t xml:space="preserve">(ook) </w:t>
      </w:r>
      <w:r w:rsidRPr="0096554D">
        <w:rPr>
          <w:b/>
          <w:bCs/>
          <w:sz w:val="24"/>
          <w:szCs w:val="24"/>
        </w:rPr>
        <w:t xml:space="preserve">een Single Point </w:t>
      </w:r>
      <w:proofErr w:type="spellStart"/>
      <w:r w:rsidRPr="0096554D">
        <w:rPr>
          <w:b/>
          <w:bCs/>
          <w:sz w:val="24"/>
          <w:szCs w:val="24"/>
        </w:rPr>
        <w:t>Rubric</w:t>
      </w:r>
      <w:proofErr w:type="spellEnd"/>
      <w:r w:rsidRPr="0096554D">
        <w:rPr>
          <w:b/>
          <w:bCs/>
          <w:sz w:val="24"/>
          <w:szCs w:val="24"/>
        </w:rPr>
        <w:t>?</w:t>
      </w:r>
    </w:p>
    <w:p w14:paraId="4D8F8EF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Het Beoordelingsformulier Stages bevat een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waarin alle streefniveaus voor alle beoordelingsmomenten verzameld staan. Bij het oriënteren op de stage-eisen kan deze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overweldigend zijn. </w:t>
      </w:r>
    </w:p>
    <w:p w14:paraId="176D965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622E63CC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Een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bevat </w:t>
      </w:r>
      <w:r w:rsidRPr="005D7106">
        <w:rPr>
          <w:sz w:val="24"/>
          <w:szCs w:val="24"/>
        </w:rPr>
        <w:t xml:space="preserve">alleen die criteria en niveaus </w:t>
      </w:r>
      <w:r>
        <w:rPr>
          <w:sz w:val="24"/>
          <w:szCs w:val="24"/>
        </w:rPr>
        <w:t xml:space="preserve">die voor een specifieke beoordelingsmoment gelden. Hiermee kunnen studenten en begeleiders gericht oriënteren op wat verwacht wordt, welke kwaliteiten de student al laat zien, en wat mogelijke uitdagingen/aandachtspunten zijn om tijdens de stage aan te werken.  </w:t>
      </w:r>
    </w:p>
    <w:p w14:paraId="28B7662C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1ED77064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72A7B10" wp14:editId="63C008F3">
            <wp:extent cx="5760720" cy="3519170"/>
            <wp:effectExtent l="19050" t="19050" r="11430" b="24130"/>
            <wp:docPr id="1" name="Picture 1" descr="BBSingle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SinglePo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9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FF6DF7" w14:textId="77777777" w:rsidR="00C447BE" w:rsidRDefault="00C447BE" w:rsidP="00C447BE">
      <w:pPr>
        <w:pStyle w:val="Subtitle"/>
      </w:pPr>
      <w:r>
        <w:t xml:space="preserve">Figuur 1: Voorbeeld van een Single-Point </w:t>
      </w:r>
      <w:proofErr w:type="spellStart"/>
      <w:r>
        <w:t>Rubric</w:t>
      </w:r>
      <w:proofErr w:type="spellEnd"/>
    </w:p>
    <w:bookmarkEnd w:id="0"/>
    <w:p w14:paraId="21812C97" w14:textId="77777777" w:rsidR="009572A6" w:rsidRDefault="009572A6" w:rsidP="009572A6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3"/>
        <w:gridCol w:w="3260"/>
      </w:tblGrid>
      <w:tr w:rsidR="00917E03" w:rsidRPr="00A438B9" w14:paraId="36416B11" w14:textId="77777777" w:rsidTr="00EE5793">
        <w:tc>
          <w:tcPr>
            <w:tcW w:w="2835" w:type="dxa"/>
            <w:tcBorders>
              <w:bottom w:val="single" w:sz="4" w:space="0" w:color="auto"/>
            </w:tcBorders>
          </w:tcPr>
          <w:p w14:paraId="53C81585" w14:textId="77777777" w:rsidR="00917E03" w:rsidRPr="00A438B9" w:rsidRDefault="00917E03" w:rsidP="00681FF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DEE72E6" w14:textId="77777777" w:rsidR="00917E03" w:rsidRPr="00A438B9" w:rsidRDefault="00917E03" w:rsidP="00681FF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RUBRIC PROFESSIONAL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BAA463" w14:textId="77777777" w:rsidR="00917E03" w:rsidRPr="00A438B9" w:rsidRDefault="00917E03" w:rsidP="00681FF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438B9" w14:paraId="72F77E31" w14:textId="77777777" w:rsidTr="00EE579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B543D2" w14:textId="77777777" w:rsidR="00917E03" w:rsidRPr="00A438B9" w:rsidRDefault="00917E03" w:rsidP="00681FF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Werkt aan eigen ontwikkeling en professionele identiteit</w:t>
            </w:r>
          </w:p>
        </w:tc>
      </w:tr>
      <w:tr w:rsidR="00681FF8" w:rsidRPr="00A438B9" w14:paraId="06760519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B112C4" w14:textId="77777777" w:rsidR="00681FF8" w:rsidRPr="00A438B9" w:rsidRDefault="00681FF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29B182" w14:textId="77777777" w:rsidR="00681FF8" w:rsidRPr="00A438B9" w:rsidRDefault="00681FF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(1) Houdt de eigen kennis en kunde bij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8BACEF" w14:textId="77777777" w:rsidR="00681FF8" w:rsidRPr="00A438B9" w:rsidRDefault="00681FF8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C775B" w:rsidRPr="00A438B9" w14:paraId="11C4E90B" w14:textId="77777777" w:rsidTr="00EE5793">
        <w:trPr>
          <w:trHeight w:val="157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AE535D" w14:textId="77777777" w:rsidR="00FC775B" w:rsidRPr="00A438B9" w:rsidRDefault="00FC775B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9FFEC31" w14:textId="0666B2ED" w:rsidR="00FC775B" w:rsidRPr="00A438B9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Deelt behandelde theorie en vraagt collega's naar praktijkkennis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doet hieruit ideeën op om het eigen handelen te verbeteren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ontwikkelt hiermee inzicht in onderliggende mechanismen en processen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zoekt zelfstandig naar bronnen vanuit eigen leervragen.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A14F9ED" w14:textId="77777777" w:rsidR="00FC775B" w:rsidRPr="00A438B9" w:rsidRDefault="00FC775B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438B9" w14:paraId="52D3E2E5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2D0CDC" w14:textId="77777777" w:rsidR="00177908" w:rsidRPr="00A438B9" w:rsidRDefault="0017790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5320CC" w14:textId="77777777" w:rsidR="00177908" w:rsidRPr="00A438B9" w:rsidRDefault="0017790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(2) Is actief in het eigen leren, denkt over het eigen leren na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1E19E3" w14:textId="77777777" w:rsidR="00177908" w:rsidRPr="00A438B9" w:rsidRDefault="00177908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A438B9" w14:paraId="7BFF46CB" w14:textId="77777777" w:rsidTr="00EE5793">
        <w:trPr>
          <w:trHeight w:val="1252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B44555" w14:textId="77777777" w:rsidR="00886873" w:rsidRPr="00A438B9" w:rsidRDefault="00886873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31A47D6" w14:textId="49471CCD" w:rsidR="002932C8" w:rsidRPr="002932C8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Leert vanuit eigen leervoorkeuren en leerbehoeften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benoemt en bespreekt deze met begeleiders in de school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</w:p>
          <w:p w14:paraId="4242B05D" w14:textId="77777777" w:rsidR="002932C8" w:rsidRPr="002932C8" w:rsidRDefault="002932C8" w:rsidP="0029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evalueert met hen de effectiviteit van het eigen leren (en signaleert zo </w:t>
            </w:r>
          </w:p>
          <w:p w14:paraId="1374AE8A" w14:textId="09592609" w:rsidR="002932C8" w:rsidRPr="002932C8" w:rsidRDefault="002932C8" w:rsidP="0029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nodig problemen en belemmeringen)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</w:p>
          <w:p w14:paraId="6FCA3FB4" w14:textId="7E5893EF" w:rsidR="00886873" w:rsidRPr="00A438B9" w:rsidRDefault="002932C8" w:rsidP="0029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en trekt hieruit conclusies voor het verdere leren.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CFAC90A" w14:textId="77777777" w:rsidR="00886873" w:rsidRPr="00A438B9" w:rsidRDefault="00886873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438B9" w14:paraId="2C7619D0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4BC280" w14:textId="77777777" w:rsidR="00177908" w:rsidRPr="00A438B9" w:rsidRDefault="0017790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715993" w14:textId="77777777" w:rsidR="00177908" w:rsidRPr="00A438B9" w:rsidRDefault="0017790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(3) Onderzoekt de eigen onderwijspraktijk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865BA2" w14:textId="77777777" w:rsidR="00177908" w:rsidRPr="00A438B9" w:rsidRDefault="00177908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A438B9" w14:paraId="0BF87862" w14:textId="77777777" w:rsidTr="00A438B9">
        <w:trPr>
          <w:trHeight w:val="1562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10BC" w14:textId="77777777" w:rsidR="00886873" w:rsidRPr="00A438B9" w:rsidRDefault="00886873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875C731" w14:textId="1A21EB77" w:rsidR="00886873" w:rsidRPr="00A438B9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Ziet leerlingen, collega’s en observaties als bronnen van informatie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verzamelt hierbij gericht informatie vanuit eigen leervragen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gebruikt deze informatie om het effect van het eigen handelen te begrijpen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om de eigen onderwijspraktijk te verantwoorden en te verbeteren.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67536D" w14:textId="77777777" w:rsidR="00886873" w:rsidRPr="00A438B9" w:rsidRDefault="00886873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C775B" w:rsidRPr="00A438B9" w14:paraId="11770A4B" w14:textId="77777777" w:rsidTr="00A438B9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FDC6" w14:textId="77777777" w:rsidR="00FC775B" w:rsidRPr="00A438B9" w:rsidRDefault="00FC775B" w:rsidP="00D4467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CA7B48" w14:textId="77777777" w:rsidR="00FC775B" w:rsidRPr="00A438B9" w:rsidRDefault="00FC775B" w:rsidP="00D4467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(4) Bepaalt een eigen positie in de school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857A3" w14:textId="77777777" w:rsidR="00FC775B" w:rsidRPr="00A438B9" w:rsidRDefault="00FC775B" w:rsidP="00D4467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C775B" w:rsidRPr="00A438B9" w14:paraId="3154C643" w14:textId="77777777" w:rsidTr="00A438B9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9F50" w14:textId="77777777" w:rsidR="00FC775B" w:rsidRPr="00A438B9" w:rsidRDefault="00FC775B" w:rsidP="00D4467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73DCB9" w14:textId="79E2AD2B" w:rsidR="00FC775B" w:rsidRPr="00A438B9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Informeert naar verschillende opvattingen en visies in de school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relateert deze aan de vormgeving van het onderwijs op school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trekt hieruit consequenties voor zichzelf en de eigen lespraktijk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brengt vanuit eigen visie ideeën en materialen in die waardevol zijn voor team/sectie.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E78E8E" w14:textId="77777777" w:rsidR="00FC775B" w:rsidRPr="00A438B9" w:rsidRDefault="00FC775B" w:rsidP="00D4467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C46C8AA" w14:textId="77777777" w:rsidR="00EE5793" w:rsidRDefault="00EE5793"/>
    <w:p w14:paraId="628CF0CE" w14:textId="77777777" w:rsidR="00A438B9" w:rsidRDefault="00A438B9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111"/>
        <w:gridCol w:w="3402"/>
      </w:tblGrid>
      <w:tr w:rsidR="00A438B9" w:rsidRPr="00A438B9" w14:paraId="2BCF2079" w14:textId="77777777" w:rsidTr="00F679AB">
        <w:tc>
          <w:tcPr>
            <w:tcW w:w="2835" w:type="dxa"/>
            <w:tcBorders>
              <w:bottom w:val="single" w:sz="4" w:space="0" w:color="auto"/>
            </w:tcBorders>
          </w:tcPr>
          <w:p w14:paraId="53FF00E0" w14:textId="77777777" w:rsidR="00A438B9" w:rsidRPr="00A438B9" w:rsidRDefault="00A438B9" w:rsidP="00E6205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D17CBE" w14:textId="77777777" w:rsidR="00A438B9" w:rsidRPr="00A438B9" w:rsidRDefault="00A438B9" w:rsidP="00E6205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RUBRIC PROFESSIONAL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7AB9065" w14:textId="77777777" w:rsidR="00A438B9" w:rsidRPr="00A438B9" w:rsidRDefault="00A438B9" w:rsidP="00E620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A438B9" w:rsidRPr="00A438B9" w14:paraId="3ED4D3F2" w14:textId="77777777" w:rsidTr="00E6205E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1D9B1F" w14:textId="77777777" w:rsidR="00A438B9" w:rsidRPr="00A438B9" w:rsidRDefault="00A438B9" w:rsidP="00E6205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Werkt samen en toont professionaliteit</w:t>
            </w:r>
          </w:p>
        </w:tc>
      </w:tr>
      <w:tr w:rsidR="00A438B9" w:rsidRPr="00A438B9" w14:paraId="503EA6B5" w14:textId="77777777" w:rsidTr="00F679A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D3C309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EDD4C3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(5) Communiceert professioneel over leerlingen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801EC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38B9" w:rsidRPr="00A438B9" w14:paraId="46AE2E4A" w14:textId="77777777" w:rsidTr="00F679AB">
        <w:trPr>
          <w:trHeight w:val="1008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8E3DC8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BFCCB74" w14:textId="4D676C5A" w:rsidR="00A438B9" w:rsidRPr="00A438B9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Communiceert met collega’s over leerlingen,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is zich hierbij bewust van mogelijke vooroordelen, aannames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>, eigen ervaringen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 xml:space="preserve">van meerdere perspectieven om naar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leerlingen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 xml:space="preserve"> te kijken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 xml:space="preserve">zoekt ruimte om deze ook samen te verkennen in gesprek met collega’s.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161848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38B9" w:rsidRPr="00A438B9" w14:paraId="17CFD3CC" w14:textId="77777777" w:rsidTr="00F679A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32A633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1EB9C8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(6) Stemt pedagogisch handelen af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A23E4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38B9" w:rsidRPr="00A438B9" w14:paraId="7FFAE2F7" w14:textId="77777777" w:rsidTr="00F679AB">
        <w:trPr>
          <w:trHeight w:val="1001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CF727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05E2E02" w14:textId="5EC3B92D" w:rsidR="00A438B9" w:rsidRPr="002932C8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Bespreekt het eigen pedagogisch handelen met collega’s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staat daarbij open voor suggesties van 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>hen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stemt het eigen pedagogisch handelen 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 xml:space="preserve">met hen af,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 xml:space="preserve">ook met ouders van leerlingen.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17B155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38B9" w:rsidRPr="00A438B9" w14:paraId="57BAFD28" w14:textId="77777777" w:rsidTr="00F679AB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B32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9FF49B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(7) Neemt deel aan de schoolorganisatie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7B72D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38B9" w:rsidRPr="00A438B9" w14:paraId="5013033F" w14:textId="77777777" w:rsidTr="00F679AB">
        <w:trPr>
          <w:trHeight w:val="190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8ED022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D8E1C5" w14:textId="52DA045A" w:rsidR="00A438B9" w:rsidRPr="00A438B9" w:rsidRDefault="000979F6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979F6">
              <w:rPr>
                <w:rFonts w:ascii="Calibri Light" w:hAnsi="Calibri Light" w:cs="Calibri Light"/>
                <w:sz w:val="24"/>
                <w:szCs w:val="24"/>
              </w:rPr>
              <w:t>Voert les-gebonden taken uit, en neemt deel aan niet-les gebonden activiteiten met leerlingen en/of ouders, en aan overleg/vergaderingen met collega’s</w:t>
            </w:r>
            <w:r>
              <w:rPr>
                <w:rFonts w:ascii="Calibri Light" w:hAnsi="Calibri Light" w:cs="Calibri Light"/>
                <w:sz w:val="24"/>
                <w:szCs w:val="24"/>
              </w:rPr>
              <w:t>, en levert daarbij een eigen inbreng.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59EE2C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4706C12" w14:textId="77777777" w:rsidR="00A438B9" w:rsidRDefault="00A438B9" w:rsidP="00A438B9"/>
    <w:p w14:paraId="67EE9C65" w14:textId="77777777" w:rsidR="00A438B9" w:rsidRDefault="00A438B9"/>
    <w:p w14:paraId="47F2AED3" w14:textId="77777777" w:rsidR="00EE5793" w:rsidRDefault="00EE5793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917E03" w:rsidRPr="00A438B9" w14:paraId="410548BA" w14:textId="77777777" w:rsidTr="00FC775B">
        <w:tc>
          <w:tcPr>
            <w:tcW w:w="2835" w:type="dxa"/>
            <w:tcBorders>
              <w:bottom w:val="single" w:sz="4" w:space="0" w:color="auto"/>
            </w:tcBorders>
          </w:tcPr>
          <w:p w14:paraId="4429B037" w14:textId="77777777" w:rsidR="00917E03" w:rsidRPr="00A438B9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E5A0679" w14:textId="77777777" w:rsidR="00917E03" w:rsidRPr="00A438B9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RUBRIC PEDAGOOG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EB7174A" w14:textId="77777777" w:rsidR="00917E03" w:rsidRPr="00A438B9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438B9" w14:paraId="2CEB0A81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C3CF0E" w14:textId="77777777" w:rsidR="00917E03" w:rsidRPr="00A438B9" w:rsidRDefault="00917E03" w:rsidP="006F7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Creëert een veilig leerklimaat in de klas</w:t>
            </w:r>
          </w:p>
        </w:tc>
      </w:tr>
      <w:tr w:rsidR="00917E03" w:rsidRPr="00A438B9" w14:paraId="192DB3A5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FEB61B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9CFFF9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Communiceert doelgericht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14EF51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1293365D" w14:textId="77777777" w:rsidTr="00FC775B">
        <w:trPr>
          <w:trHeight w:val="1154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5183C8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B57DDB3" w14:textId="69D3F76B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Ziet het effect van de eigen manier van communiceren op leerlingen,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en past de eigen manier van communiceren daarop aan,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zet daarbij diverse vormen van communicatief gedrag in, en communiceert daarmee doelgericht met leerlingen en collega’s.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14E0E3E3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0133E210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99386C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64845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Bevordert het sociale klimaat in de klas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F7261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37D3C621" w14:textId="77777777" w:rsidTr="00FC775B">
        <w:trPr>
          <w:trHeight w:val="61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7425CD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0A29166" w14:textId="39065EF9" w:rsidR="002932C8" w:rsidRPr="002932C8" w:rsidRDefault="002932C8" w:rsidP="002932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32C8">
              <w:rPr>
                <w:rFonts w:asciiTheme="majorHAnsi" w:hAnsiTheme="majorHAnsi" w:cstheme="majorHAnsi"/>
                <w:sz w:val="24"/>
                <w:szCs w:val="24"/>
              </w:rPr>
              <w:t>Signaleert de omgangsvormen in de klas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</w:p>
          <w:p w14:paraId="1B12CEF7" w14:textId="448A13DA" w:rsidR="00886873" w:rsidRPr="00A438B9" w:rsidRDefault="002932C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32C8"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ziet en benut momenten om hierop invloed uit te oefenen, en helpt leerlingen hierbij het effect van hun gedrag te zien, en maak omgangsvormen onderwerp van gesprek met de klas. 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3B9AAC61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2056543A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649F01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34B9FC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Toont leiderschap in groepen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CFE377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1DDA03E0" w14:textId="77777777" w:rsidTr="00677388">
        <w:trPr>
          <w:trHeight w:val="886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029F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0032147" w14:textId="78D34EEF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Zoekt naar manieren om gewenst gedrag van leerlingen te bevorderen,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corrigeert ongewenst gedrag,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maakt gedragsregels expliciet, en maakt heldere afspraken met leerlingen, en hanteert regels en afspraken duidelijk met behoud van een positieve relatie.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206BF2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3A4D3B65" w14:textId="77777777" w:rsidTr="00677388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5D80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B6C905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(4) Stuurt het groepsproces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AB6A2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4372F80D" w14:textId="77777777" w:rsidTr="00677388">
        <w:trPr>
          <w:trHeight w:val="886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63AA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A37AFC" w14:textId="66468C55" w:rsidR="00886873" w:rsidRPr="00A438B9" w:rsidRDefault="000979F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Merkt verhoudingen in de groep op, en s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ignaleert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gewenste en 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>ongewenste groepsprocessen,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>en probeert het groepsproces te sturen en te begeleiden,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en zet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gericht 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>pedagogische maatregelen in om het groepsproces en positief te beïnvloeden.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B1F0E3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A2DE6B" w14:textId="77777777" w:rsidR="00A438B9" w:rsidRDefault="00A438B9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A438B9" w:rsidRPr="00A438B9" w14:paraId="55C4BBDF" w14:textId="77777777" w:rsidTr="00E6205E">
        <w:tc>
          <w:tcPr>
            <w:tcW w:w="2835" w:type="dxa"/>
            <w:tcBorders>
              <w:bottom w:val="single" w:sz="4" w:space="0" w:color="auto"/>
            </w:tcBorders>
          </w:tcPr>
          <w:p w14:paraId="7F3B8496" w14:textId="77777777" w:rsidR="00A438B9" w:rsidRPr="00A438B9" w:rsidRDefault="00A438B9" w:rsidP="00E620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95A66E7" w14:textId="77777777" w:rsidR="00A438B9" w:rsidRPr="00A438B9" w:rsidRDefault="00A438B9" w:rsidP="00E620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RUBRIC PEDAGOOG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C2A81DD" w14:textId="77777777" w:rsidR="00A438B9" w:rsidRPr="00A438B9" w:rsidRDefault="00A438B9" w:rsidP="00E620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438B9" w14:paraId="76E71DD8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849E0" w14:textId="77777777" w:rsidR="00917E03" w:rsidRPr="00A438B9" w:rsidRDefault="00917E03" w:rsidP="006F7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Houdt rekening met individuele verschillen tussen leerlingen</w:t>
            </w:r>
          </w:p>
        </w:tc>
      </w:tr>
      <w:tr w:rsidR="00917E03" w:rsidRPr="00A438B9" w14:paraId="1ACB4E36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70D0E5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0AAA8C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Maakt veilig contact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D9007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5DF16F25" w14:textId="77777777" w:rsidTr="00FC775B">
        <w:trPr>
          <w:trHeight w:val="693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84363A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F2102EB" w14:textId="77777777" w:rsidR="00A438B9" w:rsidRPr="00A438B9" w:rsidRDefault="00A438B9" w:rsidP="00A438B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Probeert contact met leerlingen te maken,</w:t>
            </w:r>
          </w:p>
          <w:p w14:paraId="35B13959" w14:textId="350B030C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ziet wat er speelt bij leerlingen,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en zorgt ervoor dat leerlingen zich op hun gemak voelen, en stemt continu het contact met leerlingen af in het moment. 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F1EBD6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225B019E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41C8C5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BFD761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(6) Geeft en krijgt vertrouwen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6655A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5DCB8D59" w14:textId="77777777" w:rsidTr="00A438B9">
        <w:trPr>
          <w:trHeight w:val="549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59DA20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BDA9CB0" w14:textId="43E36F74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Luistert naar leerlingen en staat open voor hun inbreng,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en erkent het perspectief van leerlingen,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bouwt bewust aan een band met leerlingen,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realiseert een sfeer van wederzijds vertrouwen.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B9C51B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204BDF1B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FA88CA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5E9814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(7) Heeft oog voor de algemene ontwikkeling van leerlingen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D2A49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49019766" w14:textId="77777777" w:rsidTr="00FC775B">
        <w:trPr>
          <w:trHeight w:val="1154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BAC536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E191AB1" w14:textId="57308B0D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Praat met leerlingen over school, leren en hun prestaties, en over hun verdere ontwikkeling en hun interesses, ervaringen, en probeert hen hierin verder te helpen (gesprekjes, feedback, stimuleren),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doet dit professioneel en betrekt hierbij waar nodig ouders en anderen in de school.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219FEF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33D2D505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9FC65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F48E73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(8) Stimuleert leerlingen om verantwoordelijkheid te leren nemen voor hun leerproces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9B0DC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1B41D8A5" w14:textId="77777777" w:rsidTr="00FC775B">
        <w:trPr>
          <w:trHeight w:val="930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E647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F7B57E" w14:textId="49E21BA5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Spreekt leerlingen aan op het maken van werk,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stimuleert leerlingen om het eigen werk te plannen,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zet activiteiten in die leerlingen inzicht bieden in hun eigen leerproces,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stimuleert leerlingen om delen van hun leerproces zelf vorm te geven.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FA4BFD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0FBF2E53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11B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CE775F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(9) Speelt in op verschillen in sociaal-emotionele ontwikkeling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633D4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43B83D2F" w14:textId="77777777" w:rsidTr="00FC775B">
        <w:trPr>
          <w:trHeight w:val="142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60E59E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55B279" w14:textId="77777777" w:rsidR="00A438B9" w:rsidRPr="00A438B9" w:rsidRDefault="00A438B9" w:rsidP="00A438B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Herleidt gedrag soms tot sociaal-emotionele ontwikkeling van leerlingen,</w:t>
            </w:r>
          </w:p>
          <w:p w14:paraId="1C1C5D2E" w14:textId="44E23C99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signaleert en benoemt verschillen tussen leerlingen qua sociaal-emotionele ontwikkeling,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problemen of belemmeringen hierin,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447BE" w:rsidRPr="00C447BE">
              <w:rPr>
                <w:rFonts w:asciiTheme="majorHAnsi" w:hAnsiTheme="majorHAnsi" w:cstheme="majorHAnsi"/>
                <w:sz w:val="24"/>
                <w:szCs w:val="24"/>
              </w:rPr>
              <w:t>en zoekt naar manieren om hierbij passend te handelen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2F7C17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7D49883" w14:textId="298B3867" w:rsidR="00F31E9B" w:rsidRDefault="00F31E9B" w:rsidP="00FC775B">
      <w:pPr>
        <w:spacing w:after="0" w:line="240" w:lineRule="auto"/>
      </w:pPr>
    </w:p>
    <w:p w14:paraId="5CFF9AA9" w14:textId="77777777" w:rsidR="00F31E9B" w:rsidRDefault="00F31E9B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677388" w:rsidRPr="00A438B9" w14:paraId="646D41C3" w14:textId="77777777" w:rsidTr="00E6205E">
        <w:tc>
          <w:tcPr>
            <w:tcW w:w="2835" w:type="dxa"/>
            <w:tcBorders>
              <w:bottom w:val="single" w:sz="4" w:space="0" w:color="auto"/>
            </w:tcBorders>
          </w:tcPr>
          <w:p w14:paraId="51EBA38B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7EDF00C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E1EF36B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677388" w:rsidRPr="00A438B9" w14:paraId="7AA9A3BA" w14:textId="77777777" w:rsidTr="00E6205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0B346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6A71AD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Bereidt onderwijs voor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97CD3F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36EC1EE1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FB1F77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F2ECAD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Stelt leerdoelen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6E7785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28EDB550" w14:textId="77777777" w:rsidTr="00E6205E">
        <w:trPr>
          <w:trHeight w:val="1154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69775B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9847669" w14:textId="46A17D51" w:rsidR="00677388" w:rsidRPr="00677388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Bereidt onderwijs voor aan de hand van gegeven leerdoelen,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 xml:space="preserve">en formuleert zelf concrete en specifieke leerdoelen,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7928F46A" w14:textId="18DE7B1D" w:rsidR="00677388" w:rsidRPr="00A438B9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zorgt voor variatie in en samenhang tussen de leerdoelen,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aansluiting bij curriculumdoelen (PTA, examens, leerlijnen).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3335904D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144D9EE5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5181A6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E79100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Bereidt leeractiviteiten en werkvormen voor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282B9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152141F4" w14:textId="77777777" w:rsidTr="00E6205E">
        <w:trPr>
          <w:trHeight w:val="61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D566B3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C7D6E6" w14:textId="48E1E0B9" w:rsidR="00677388" w:rsidRPr="00A438B9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Kiest leeractiviteiten en werkvormen, en stemt deze af op de leerdoelen, en op de beginsituatie van de leerlingen en op het vakspecifieke onderdeel,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past deze aan zodat ze effectief, efficiënt en aantrekkelijk zijn.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6A8BED73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4F8A2B37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EBEAB5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97FD04" w14:textId="4408ECCF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</w:t>
            </w:r>
            <w:r w:rsidR="00C447BE" w:rsidRPr="00C447BE">
              <w:rPr>
                <w:rFonts w:asciiTheme="majorHAnsi" w:hAnsiTheme="majorHAnsi" w:cstheme="majorHAnsi"/>
                <w:b/>
                <w:sz w:val="24"/>
                <w:szCs w:val="24"/>
              </w:rPr>
              <w:t>Richt de fysieke omgeving functioneel in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D26570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28227640" w14:textId="77777777" w:rsidTr="00677388">
        <w:trPr>
          <w:trHeight w:val="89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B94C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1668F77" w14:textId="1B177C5E" w:rsidR="00C447BE" w:rsidRPr="00C447BE" w:rsidRDefault="00C447BE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Bereidt voor vanuit de bestaande lokaalinrichting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signaleert hoe dit interactie beperkt en mogelijk maakt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</w:p>
          <w:p w14:paraId="7F0E499D" w14:textId="3DF8E7AC" w:rsidR="00677388" w:rsidRPr="00A438B9" w:rsidRDefault="00C447BE" w:rsidP="000979F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>probeert alternatieve lokaalinrichtingen uit, en kiest bewust de lokaalinrichting die de gewenste interactie bevordert.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2B09C3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62BC244D" w14:textId="77777777" w:rsidTr="00677388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4B1E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919DE2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(4) Zorgt voor samenhang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2B4BB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7F9422F1" w14:textId="77777777" w:rsidTr="00677388">
        <w:trPr>
          <w:trHeight w:val="886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8AEB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A569B" w14:textId="4C8B88C6" w:rsidR="00677388" w:rsidRPr="00A438B9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Zorgt voor samenhang en opbouw tussen onderdelen van een les,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 xml:space="preserve">en tussen opeenvolgende lessen,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binnen een leereenheid rond een hoofdstuk, onderwerp of project,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met curriculumdoelen (PTA, examens, leerlijnen).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1945B5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10D70DB" w14:textId="77777777" w:rsidR="00677388" w:rsidRDefault="00677388" w:rsidP="00FC775B">
      <w:pPr>
        <w:spacing w:after="0" w:line="240" w:lineRule="auto"/>
      </w:pPr>
    </w:p>
    <w:p w14:paraId="2BAF84C2" w14:textId="77777777" w:rsidR="00677388" w:rsidRDefault="00677388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677"/>
        <w:gridCol w:w="2977"/>
      </w:tblGrid>
      <w:tr w:rsidR="00677388" w:rsidRPr="00A438B9" w14:paraId="5620AADC" w14:textId="77777777" w:rsidTr="00677388">
        <w:tc>
          <w:tcPr>
            <w:tcW w:w="2694" w:type="dxa"/>
            <w:tcBorders>
              <w:bottom w:val="single" w:sz="4" w:space="0" w:color="auto"/>
            </w:tcBorders>
          </w:tcPr>
          <w:p w14:paraId="0784E26B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FEED17B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7E70E69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677388" w:rsidRPr="00A438B9" w14:paraId="50467CE6" w14:textId="77777777" w:rsidTr="00677388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79629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586D5F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Voert onderwijs uit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68C47A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0ADE16F2" w14:textId="77777777" w:rsidTr="00677388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3251B5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75518B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Geeft instructies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5EB3A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61D6A1AF" w14:textId="77777777" w:rsidTr="00677388">
        <w:trPr>
          <w:trHeight w:val="886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22F398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8E7D21B" w14:textId="6FC01D1A" w:rsidR="00677388" w:rsidRPr="00A438B9" w:rsidRDefault="00677388" w:rsidP="006773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Geeft begrijpelijke instructies,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zorgt daarmee dat leerlingen weten wat van hen verwacht wordt,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stemt deze goed af op de taalbeheersing van alle leerlingen, en doet dit ook effectief bij complexere werkvormen.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741F03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3C100B75" w14:textId="77777777" w:rsidTr="00677388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05B07D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504CD4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(6) Gebruikt leertijd optimaal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03B4F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0B95526A" w14:textId="77777777" w:rsidTr="00677388">
        <w:trPr>
          <w:trHeight w:val="116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946577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C0D1D78" w14:textId="52849150" w:rsidR="00677388" w:rsidRPr="00677388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Is nieuwsgierig naar manieren om de leertijd optimaal te gebruiken,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probeert wisselmomenten en lesovergangen efficiënt te laten verlopen,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organiseert lessen efficiënt zodat weinig leertijd verloren gaat,</w:t>
            </w:r>
          </w:p>
          <w:p w14:paraId="7E3074D5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gaat daarbij ook flexibel om met onverwachte situaties.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F1354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16D19683" w14:textId="77777777" w:rsidTr="00677388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875843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52058A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(7) Activeert leerlingen, ook als leerbron voor elkaar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5B12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0B35E263" w14:textId="77777777" w:rsidTr="00677388">
        <w:trPr>
          <w:trHeight w:val="1154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87D252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03BAF51" w14:textId="06B81C91" w:rsidR="00677388" w:rsidRPr="00677388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Zet werkvormen in die (</w:t>
            </w:r>
            <w:proofErr w:type="spellStart"/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inter</w:t>
            </w:r>
            <w:proofErr w:type="spellEnd"/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)actief leren stimuleren, en stelt hierbij vragen en geeft taken die leerlingen tot nadenken aanzetten,</w:t>
            </w:r>
          </w:p>
          <w:p w14:paraId="4832D91A" w14:textId="1A6A4016" w:rsidR="00677388" w:rsidRPr="00A438B9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moedigt leerlingen hierbij aan elkaar vragen te stellen en uitleg te geven,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 xml:space="preserve">en realiseert hierin betrokkenheid en actieve deelname van leerlingen.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BF83F3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3826DEFC" w14:textId="77777777" w:rsidTr="00677388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307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F2DCD3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(8) Stemt af op verschillen in beheersing van de lesstof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E56DA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3EA7C855" w14:textId="77777777" w:rsidTr="00677388">
        <w:trPr>
          <w:trHeight w:val="1154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4531B4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969C71" w14:textId="5E455581" w:rsidR="00677388" w:rsidRPr="00A438B9" w:rsidRDefault="00C447BE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Ziet verschillen tussen leerlingen qua tempo en beheersing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speelt ad hoc op deze verschillen in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biedt activiteiten die ruimte bieden voor deze verschillen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organiseert af en toe taken, materialen en/of hulp op maat.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FC5DCF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6173BD4E" w14:textId="77777777" w:rsidTr="00677388">
        <w:trPr>
          <w:trHeight w:val="207"/>
        </w:trPr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1B7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8EE559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(9) Besteedt aandacht aan leerstrategieën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12EF7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7F10948C" w14:textId="77777777" w:rsidTr="00677388">
        <w:trPr>
          <w:trHeight w:val="833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3231AD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765E0E" w14:textId="7DC3372E" w:rsidR="00677388" w:rsidRPr="00A438B9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Geeft leerlingen aanwijzingen voor het oplossen en aanpakken van taken,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laat hen hardop nadenken over hun oplossingen en antwoorden, en stimuleert het gebruik van controle activiteiten door leerlingen,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vraagt ze na te denken over strategieën bij hun aanpak, (stappen uit te leggen, strategieën te vergelijken).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032789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A1FC0A3" w14:textId="77777777" w:rsidR="00763832" w:rsidRDefault="00763832" w:rsidP="00FC775B">
      <w:pPr>
        <w:spacing w:after="0" w:line="240" w:lineRule="auto"/>
      </w:pPr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6D05A3" w:rsidRPr="00A23696" w14:paraId="4F562540" w14:textId="77777777" w:rsidTr="00EE5793">
        <w:tc>
          <w:tcPr>
            <w:tcW w:w="2835" w:type="dxa"/>
            <w:tcBorders>
              <w:bottom w:val="single" w:sz="4" w:space="0" w:color="auto"/>
            </w:tcBorders>
          </w:tcPr>
          <w:p w14:paraId="6F2DF7C4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1871024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5830B52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6D05A3" w:rsidRPr="00A23696" w14:paraId="3232CD0E" w14:textId="77777777" w:rsidTr="00EE5793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DFE7A2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61475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Monitort en evalueert het leren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0BA7D8" w14:textId="77777777" w:rsidR="006D05A3" w:rsidRPr="00A23696" w:rsidRDefault="006D05A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23696" w14:paraId="5E1ACE9A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F165C7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DA7F61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(10) Handelt formatief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5557EC" w14:textId="77777777" w:rsidR="006D05A3" w:rsidRPr="00A23696" w:rsidRDefault="006D05A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23696" w14:paraId="2360038B" w14:textId="77777777" w:rsidTr="00A23696">
        <w:trPr>
          <w:trHeight w:val="1791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74C9EE" w14:textId="77777777" w:rsidR="00886873" w:rsidRPr="00A23696" w:rsidRDefault="0088687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C737D17" w14:textId="77777777" w:rsidR="00A23696" w:rsidRPr="00A23696" w:rsidRDefault="00A23696" w:rsidP="00A236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Gaat na of leerlingen de lesstof begrijpen,</w:t>
            </w:r>
          </w:p>
          <w:p w14:paraId="2493010E" w14:textId="30D53822" w:rsidR="00886873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of zij de lesdoelen bereiken,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stelt op basis hiervan inhoud en/of didactiek van volgende lessen bij,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447BE" w:rsidRPr="00C447BE">
              <w:rPr>
                <w:rFonts w:asciiTheme="majorHAnsi" w:hAnsiTheme="majorHAnsi" w:cstheme="majorHAnsi"/>
                <w:sz w:val="24"/>
                <w:szCs w:val="24"/>
              </w:rPr>
              <w:t xml:space="preserve">en zet hierbij 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gericht </w:t>
            </w:r>
            <w:r w:rsidR="00C447BE" w:rsidRPr="00C447BE">
              <w:rPr>
                <w:rFonts w:asciiTheme="majorHAnsi" w:hAnsiTheme="majorHAnsi" w:cstheme="majorHAnsi"/>
                <w:sz w:val="24"/>
                <w:szCs w:val="24"/>
              </w:rPr>
              <w:t>verschillende formatieve technieken in.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369C406A" w14:textId="77777777" w:rsidR="00886873" w:rsidRPr="00A23696" w:rsidRDefault="0088687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23696" w14:paraId="2C29E5C8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74A797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4E1941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(11) Reflecteert op het eigen vakdidactisch handelen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2BC4CD" w14:textId="77777777" w:rsidR="006D05A3" w:rsidRPr="00A23696" w:rsidRDefault="006D05A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23696" w14:paraId="698E3F8F" w14:textId="77777777" w:rsidTr="00EE5793">
        <w:trPr>
          <w:trHeight w:val="1423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61066A" w14:textId="77777777" w:rsidR="00886873" w:rsidRPr="00A23696" w:rsidRDefault="0088687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FD111D9" w14:textId="7AFAA3B2" w:rsidR="00886873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Benoemt eigen vakdidactische keuzes (doeltaal-voertaal, practica, concept-context),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zoekt naar onderbouwing van deze keuzes vanuit praktijkkennis en theorie,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evalueert deze keuzes in de eigen onderwijspraktijk,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447BE" w:rsidRPr="00C447BE">
              <w:rPr>
                <w:rFonts w:asciiTheme="majorHAnsi" w:hAnsiTheme="majorHAnsi" w:cstheme="majorHAnsi"/>
                <w:sz w:val="24"/>
                <w:szCs w:val="24"/>
              </w:rPr>
              <w:t>en ontwikkelt gestructureerd handelingsalternatieven vanuit inzicht in theorie.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22A686CE" w14:textId="77777777" w:rsidR="00886873" w:rsidRPr="00A23696" w:rsidRDefault="0088687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23696" w14:paraId="790E9678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295008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EFF8C7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(12) Toetst leeruitkomsten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27DB23" w14:textId="77777777" w:rsidR="006D05A3" w:rsidRPr="00A23696" w:rsidRDefault="006D05A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A23696" w14:paraId="77F5AB4A" w14:textId="77777777" w:rsidTr="00A23696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AF61BF" w14:textId="77777777" w:rsidR="006F75D7" w:rsidRPr="00A23696" w:rsidRDefault="006F75D7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645A272" w14:textId="77777777" w:rsidR="00A23696" w:rsidRPr="00A23696" w:rsidRDefault="00A23696" w:rsidP="00A236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Gebruikt gegeven toetsen en correctie modellen (collega's, schoolboek),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2F026547" w14:textId="2FEED537" w:rsidR="006F75D7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signaleert verbetermogelijkheden, en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 xml:space="preserve">past </w:t>
            </w:r>
            <w:r w:rsidR="00F679AB">
              <w:rPr>
                <w:rFonts w:asciiTheme="majorHAnsi" w:hAnsiTheme="majorHAnsi" w:cstheme="majorHAnsi"/>
                <w:sz w:val="24"/>
                <w:szCs w:val="24"/>
              </w:rPr>
              <w:t>de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>z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 aan of verbetert deze waar nodig, en zorgt dat deze de leerdoelen en lesinhouden afdekken.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F43082" w14:textId="77777777" w:rsidR="006F75D7" w:rsidRPr="00A23696" w:rsidRDefault="006F75D7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23696" w14:paraId="294F756D" w14:textId="77777777" w:rsidTr="00A23696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B56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5A89FC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(13) Signaleert leermoeilijkheden in het vak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C56EB" w14:textId="77777777" w:rsidR="006D05A3" w:rsidRPr="00A23696" w:rsidRDefault="006D05A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A23696" w14:paraId="58BF698E" w14:textId="77777777" w:rsidTr="00A23696">
        <w:trPr>
          <w:trHeight w:val="142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589A68" w14:textId="77777777" w:rsidR="006F75D7" w:rsidRPr="00A23696" w:rsidRDefault="006F75D7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6C28F4" w14:textId="4F80FBC7" w:rsidR="00A23696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Neemt kennis van leermoeilijkheden van leerlingen in het schoolvak,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signaleert deze bij het voorbereiden, uitvoeren en/of evalueren van onderwijsactiviteiten,</w:t>
            </w:r>
          </w:p>
          <w:p w14:paraId="290213CD" w14:textId="71528EE5" w:rsidR="006F75D7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zoekt daarvoor oplossingen, indien nodig samen met collega’s,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zet deze oplossingen in binnen de context van de les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 of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 xml:space="preserve"> verwijst leerlingen door.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BE75F0" w14:textId="77777777" w:rsidR="006F75D7" w:rsidRPr="00A23696" w:rsidRDefault="006F75D7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2413F9B" w14:textId="77777777" w:rsidR="00A23696" w:rsidRDefault="00A23696"/>
    <w:p w14:paraId="5C320109" w14:textId="77777777" w:rsidR="00A23696" w:rsidRDefault="00A23696"/>
    <w:p w14:paraId="055EAD69" w14:textId="77777777" w:rsidR="00A23696" w:rsidRDefault="00A23696"/>
    <w:p w14:paraId="1C2F4148" w14:textId="301DABDB" w:rsidR="00F31E9B" w:rsidRDefault="00F31E9B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A23696" w:rsidRPr="00A23696" w14:paraId="3269171D" w14:textId="77777777" w:rsidTr="00E6205E">
        <w:tc>
          <w:tcPr>
            <w:tcW w:w="2835" w:type="dxa"/>
            <w:tcBorders>
              <w:bottom w:val="single" w:sz="4" w:space="0" w:color="auto"/>
            </w:tcBorders>
          </w:tcPr>
          <w:p w14:paraId="723E6B6D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FAC2AD5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F41F7E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A23696" w:rsidRPr="00A23696" w14:paraId="5EA911F0" w14:textId="77777777" w:rsidTr="00E6205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A89492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586121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Zet eigen vakkennis gericht in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9322C1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75453EE5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221D80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D26DE7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(14) Beheerst de </w:t>
            </w:r>
            <w:proofErr w:type="spellStart"/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vakinhoud</w:t>
            </w:r>
            <w:proofErr w:type="spellEnd"/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EE573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15745182" w14:textId="77777777" w:rsidTr="00E6205E">
        <w:trPr>
          <w:trHeight w:val="886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8ADA63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C2F0BE1" w14:textId="1E06E49B" w:rsidR="00A23696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Gebruikt de methode als leidraad,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voegt vak inhoud toe, (actualiteit, voorbeelden, toepassingen, verrijking),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verzorgt onderwijs los van de methode, en selecteert zelfstandig vak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 xml:space="preserve">inhouden en leermiddelen vanuit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>v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akkennis die de methode overstijgt.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E78F60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11B5EFED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67B6FA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E36AFC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(15) Maakt leren betekenisvol en interessant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C4168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75D091E6" w14:textId="77777777" w:rsidTr="00E6205E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12F8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E4F0A" w14:textId="1551607D" w:rsidR="00A23696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Activeert voorkennis van leerlingen over de leerstof,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verbindt dit met de leef- en belevingswereld van leerlingen,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maakt de gebruikswaarde van de leerstof duidelijk  voor leerlingen,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wekt daarmee betrokkenheid van leerlingen en interesse voor het schoolvak.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6AF89D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5394D4E9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7A0FED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C1DC2D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(16) Reflecteert op de gehanteerde visie binnen het schoolvak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88575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37E9A92D" w14:textId="77777777" w:rsidTr="00E6205E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CEB5" w14:textId="77777777" w:rsidR="00A23696" w:rsidRPr="00A23696" w:rsidRDefault="00A23696" w:rsidP="00E6205E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7FB38F" w14:textId="31991D8A" w:rsidR="00A23696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Verkent de eigen visie op de inhoud en didactiek van het schoolvak,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relateert deze aan de visie van de vaksectie,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aan landelijke eindtermen en het examenprogramma,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aan de missie en visie van de school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185109" w14:textId="77777777" w:rsidR="00A23696" w:rsidRPr="00A23696" w:rsidRDefault="00A23696" w:rsidP="00E6205E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A0BF433" w14:textId="77777777" w:rsidR="00E41FF5" w:rsidRDefault="00E41FF5"/>
    <w:sectPr w:rsidR="00E41FF5" w:rsidSect="003E4530">
      <w:headerReference w:type="default" r:id="rId9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3DAC" w14:textId="77777777" w:rsidR="00763832" w:rsidRDefault="00763832" w:rsidP="00763832">
      <w:pPr>
        <w:spacing w:after="0" w:line="240" w:lineRule="auto"/>
      </w:pPr>
      <w:r>
        <w:separator/>
      </w:r>
    </w:p>
  </w:endnote>
  <w:endnote w:type="continuationSeparator" w:id="0">
    <w:p w14:paraId="48B4B392" w14:textId="77777777" w:rsidR="00763832" w:rsidRDefault="00763832" w:rsidP="0076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FBA1" w14:textId="77777777" w:rsidR="00763832" w:rsidRDefault="00763832" w:rsidP="00763832">
      <w:pPr>
        <w:spacing w:after="0" w:line="240" w:lineRule="auto"/>
      </w:pPr>
      <w:r>
        <w:separator/>
      </w:r>
    </w:p>
  </w:footnote>
  <w:footnote w:type="continuationSeparator" w:id="0">
    <w:p w14:paraId="19011535" w14:textId="77777777" w:rsidR="00763832" w:rsidRDefault="00763832" w:rsidP="00763832">
      <w:pPr>
        <w:spacing w:after="0" w:line="240" w:lineRule="auto"/>
      </w:pPr>
      <w:r>
        <w:continuationSeparator/>
      </w:r>
    </w:p>
  </w:footnote>
  <w:footnote w:id="1">
    <w:p w14:paraId="592440F2" w14:textId="77777777" w:rsidR="00C447BE" w:rsidRPr="0059494B" w:rsidRDefault="00C447BE" w:rsidP="00C447BE">
      <w:pPr>
        <w:pStyle w:val="FootnoteText"/>
      </w:pPr>
      <w:r>
        <w:rPr>
          <w:rStyle w:val="FootnoteReference"/>
        </w:rPr>
        <w:footnoteRef/>
      </w:r>
      <w:r>
        <w:t xml:space="preserve"> Zie </w:t>
      </w:r>
      <w:hyperlink r:id="rId1" w:history="1">
        <w:r w:rsidRPr="0059494B">
          <w:rPr>
            <w:rStyle w:val="Hyperlink"/>
            <w:szCs w:val="24"/>
          </w:rPr>
          <w:t>https://www.cultofpedagogy.com/single-point-rubric/</w:t>
        </w:r>
      </w:hyperlink>
      <w:r>
        <w:rPr>
          <w:szCs w:val="24"/>
        </w:rPr>
        <w:t xml:space="preserve">. </w:t>
      </w:r>
    </w:p>
  </w:footnote>
  <w:footnote w:id="2">
    <w:p w14:paraId="5EDC689E" w14:textId="77777777" w:rsidR="00C447BE" w:rsidRPr="0059494B" w:rsidRDefault="00C447BE" w:rsidP="00C447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494B">
        <w:t xml:space="preserve">Zie </w:t>
      </w:r>
      <w:hyperlink r:id="rId2" w:history="1">
        <w:r w:rsidRPr="008908A4">
          <w:rPr>
            <w:rStyle w:val="Hyperlink"/>
          </w:rPr>
          <w:t>https://www.cultofpedagogy.com/holistic-analytic-single-point-rubrics/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1404" w14:textId="6EB24C88" w:rsidR="00C447BE" w:rsidRPr="00323258" w:rsidRDefault="00897FCE" w:rsidP="000F2EE5">
    <w:pPr>
      <w:pStyle w:val="Header"/>
      <w:rPr>
        <w:sz w:val="24"/>
        <w:lang w:val="en-US"/>
      </w:rPr>
    </w:pPr>
    <w:r>
      <w:rPr>
        <w:sz w:val="24"/>
        <w:lang w:val="en-US"/>
      </w:rPr>
      <w:t xml:space="preserve">Single Point Rubric Stage Radboud Docenten Academie 2022-2023 </w:t>
    </w:r>
    <w:r w:rsidR="000F2EE5">
      <w:rPr>
        <w:sz w:val="24"/>
        <w:lang w:val="en-US"/>
      </w:rPr>
      <w:t xml:space="preserve"> – </w:t>
    </w:r>
    <w:proofErr w:type="spellStart"/>
    <w:r w:rsidR="00C447BE">
      <w:rPr>
        <w:sz w:val="24"/>
        <w:lang w:val="en-US"/>
      </w:rPr>
      <w:t>Streefniveau</w:t>
    </w:r>
    <w:proofErr w:type="spellEnd"/>
    <w:r w:rsidR="00C447BE">
      <w:rPr>
        <w:sz w:val="24"/>
        <w:lang w:val="en-US"/>
      </w:rPr>
      <w:t xml:space="preserve"> 4</w:t>
    </w:r>
  </w:p>
  <w:p w14:paraId="2A559C11" w14:textId="5961C5B8" w:rsidR="00763832" w:rsidRPr="00C447BE" w:rsidRDefault="00763832" w:rsidP="00C44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98A"/>
    <w:multiLevelType w:val="hybridMultilevel"/>
    <w:tmpl w:val="47841EB2"/>
    <w:lvl w:ilvl="0" w:tplc="D8E6A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04EC2"/>
    <w:multiLevelType w:val="hybridMultilevel"/>
    <w:tmpl w:val="62664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D06BE"/>
    <w:multiLevelType w:val="hybridMultilevel"/>
    <w:tmpl w:val="8FD0A1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89"/>
    <w:rsid w:val="000979F6"/>
    <w:rsid w:val="000F2EE5"/>
    <w:rsid w:val="00175BCE"/>
    <w:rsid w:val="00177908"/>
    <w:rsid w:val="00253BC1"/>
    <w:rsid w:val="0027600F"/>
    <w:rsid w:val="002932C8"/>
    <w:rsid w:val="0029783C"/>
    <w:rsid w:val="003001F8"/>
    <w:rsid w:val="003E4530"/>
    <w:rsid w:val="004B6FCC"/>
    <w:rsid w:val="00593485"/>
    <w:rsid w:val="0059494B"/>
    <w:rsid w:val="005D7106"/>
    <w:rsid w:val="00677388"/>
    <w:rsid w:val="00681FF8"/>
    <w:rsid w:val="006A7D1C"/>
    <w:rsid w:val="006D05A3"/>
    <w:rsid w:val="006D38AD"/>
    <w:rsid w:val="006F75D7"/>
    <w:rsid w:val="00703591"/>
    <w:rsid w:val="00763832"/>
    <w:rsid w:val="007C7645"/>
    <w:rsid w:val="007F744C"/>
    <w:rsid w:val="0083368D"/>
    <w:rsid w:val="00850194"/>
    <w:rsid w:val="00886873"/>
    <w:rsid w:val="00897FCE"/>
    <w:rsid w:val="00917E03"/>
    <w:rsid w:val="009572A6"/>
    <w:rsid w:val="009B7C85"/>
    <w:rsid w:val="009F5B96"/>
    <w:rsid w:val="00A23696"/>
    <w:rsid w:val="00A438B9"/>
    <w:rsid w:val="00A51F3C"/>
    <w:rsid w:val="00C447BE"/>
    <w:rsid w:val="00CE4B34"/>
    <w:rsid w:val="00D36AAA"/>
    <w:rsid w:val="00E41FF5"/>
    <w:rsid w:val="00EE5793"/>
    <w:rsid w:val="00EF7E31"/>
    <w:rsid w:val="00F31E9B"/>
    <w:rsid w:val="00F679AB"/>
    <w:rsid w:val="00F863AC"/>
    <w:rsid w:val="00FA2289"/>
    <w:rsid w:val="00FC775B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8DB7"/>
  <w15:chartTrackingRefBased/>
  <w15:docId w15:val="{9E2E14CE-B46C-4F71-9540-1B92BD30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1F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32"/>
  </w:style>
  <w:style w:type="paragraph" w:styleId="Footer">
    <w:name w:val="footer"/>
    <w:basedOn w:val="Normal"/>
    <w:link w:val="Foot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32"/>
  </w:style>
  <w:style w:type="paragraph" w:styleId="ListParagraph">
    <w:name w:val="List Paragraph"/>
    <w:basedOn w:val="Normal"/>
    <w:uiPriority w:val="34"/>
    <w:qFormat/>
    <w:rsid w:val="009F5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94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94B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7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47BE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44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ultofpedagogy.com/holistic-analytic-single-point-rubrics/" TargetMode="External"/><Relationship Id="rId1" Type="http://schemas.openxmlformats.org/officeDocument/2006/relationships/hyperlink" Target="https://www.cultofpedagogy.com/single-point-rubr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120E-805B-48A2-81A8-C4558F68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1779</Words>
  <Characters>9785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Ginkel, G.V.M. van (Gisbert)</dc:creator>
  <cp:keywords/>
  <dc:description/>
  <cp:lastModifiedBy>Ginkel, G.V.M. van (Gisbert)</cp:lastModifiedBy>
  <cp:revision>6</cp:revision>
  <dcterms:created xsi:type="dcterms:W3CDTF">2022-08-24T12:10:00Z</dcterms:created>
  <dcterms:modified xsi:type="dcterms:W3CDTF">2022-08-29T11:36:00Z</dcterms:modified>
</cp:coreProperties>
</file>