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FB08" w14:textId="77777777" w:rsidR="00C447BE" w:rsidRPr="0096554D" w:rsidRDefault="00C447BE" w:rsidP="00C447BE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bookmarkStart w:id="0" w:name="_Hlk81402067"/>
      <w:r w:rsidRPr="0096554D">
        <w:rPr>
          <w:b/>
          <w:sz w:val="28"/>
          <w:szCs w:val="28"/>
        </w:rPr>
        <w:t xml:space="preserve">Oriënteren op de stagebeoordeling met een Single Point </w:t>
      </w:r>
      <w:proofErr w:type="spellStart"/>
      <w:r w:rsidRPr="0096554D">
        <w:rPr>
          <w:b/>
          <w:sz w:val="28"/>
          <w:szCs w:val="28"/>
        </w:rPr>
        <w:t>Rubric</w:t>
      </w:r>
      <w:proofErr w:type="spellEnd"/>
    </w:p>
    <w:p w14:paraId="06AD40C5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3F9A7765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 w:rsidRPr="009F5B96">
        <w:rPr>
          <w:sz w:val="24"/>
          <w:szCs w:val="24"/>
        </w:rPr>
        <w:t>D</w:t>
      </w:r>
      <w:r>
        <w:rPr>
          <w:sz w:val="24"/>
          <w:szCs w:val="24"/>
        </w:rPr>
        <w:t xml:space="preserve">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in dit document i</w:t>
      </w:r>
      <w:r w:rsidRPr="009F5B96">
        <w:rPr>
          <w:sz w:val="24"/>
          <w:szCs w:val="24"/>
        </w:rPr>
        <w:t>s een bewerk</w:t>
      </w:r>
      <w:r>
        <w:rPr>
          <w:sz w:val="24"/>
          <w:szCs w:val="24"/>
        </w:rPr>
        <w:t xml:space="preserve">te versie </w:t>
      </w:r>
      <w:r w:rsidRPr="009F5B96">
        <w:rPr>
          <w:sz w:val="24"/>
          <w:szCs w:val="24"/>
        </w:rPr>
        <w:t xml:space="preserve">van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Professional, Pedagoog en Vakdidacticus uit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 xml:space="preserve">Stages </w:t>
      </w:r>
      <w:r w:rsidRPr="009F5B96">
        <w:rPr>
          <w:sz w:val="24"/>
          <w:szCs w:val="24"/>
        </w:rPr>
        <w:t xml:space="preserve">van de Radboud Docenten Academie. </w:t>
      </w:r>
      <w:r>
        <w:rPr>
          <w:sz w:val="24"/>
          <w:szCs w:val="24"/>
        </w:rPr>
        <w:t xml:space="preserve">Deze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is bedoeld als gespreksdocument, NIET als beoordelingsformulier.</w:t>
      </w:r>
      <w:r w:rsidRPr="00AF1193">
        <w:rPr>
          <w:sz w:val="24"/>
          <w:szCs w:val="24"/>
        </w:rPr>
        <w:t xml:space="preserve"> </w:t>
      </w:r>
      <w:r>
        <w:rPr>
          <w:sz w:val="24"/>
          <w:szCs w:val="24"/>
        </w:rPr>
        <w:t>Gebruik voor de beoordeling het originele formulier in pdf. U vindt dit op de website van de Radboud Docenten Academie.</w:t>
      </w:r>
    </w:p>
    <w:p w14:paraId="23E32F84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129DC295" w14:textId="77777777" w:rsidR="005E1EB4" w:rsidRDefault="005E1EB4" w:rsidP="005E1EB4">
      <w:pPr>
        <w:spacing w:after="0" w:line="240" w:lineRule="auto"/>
        <w:rPr>
          <w:sz w:val="24"/>
          <w:szCs w:val="24"/>
        </w:rPr>
      </w:pPr>
      <w:r w:rsidRPr="003001F8">
        <w:rPr>
          <w:sz w:val="24"/>
          <w:szCs w:val="24"/>
        </w:rPr>
        <w:t xml:space="preserve">Deze </w:t>
      </w:r>
      <w:r>
        <w:rPr>
          <w:sz w:val="24"/>
          <w:szCs w:val="24"/>
        </w:rPr>
        <w:t>versie bevat de eisen bij de</w:t>
      </w:r>
      <w:r w:rsidRPr="003001F8">
        <w:rPr>
          <w:sz w:val="24"/>
          <w:szCs w:val="24"/>
        </w:rPr>
        <w:t xml:space="preserve"> volgende </w:t>
      </w:r>
      <w:r>
        <w:rPr>
          <w:sz w:val="24"/>
          <w:szCs w:val="24"/>
        </w:rPr>
        <w:t>beoordelingsmomenten:</w:t>
      </w:r>
    </w:p>
    <w:p w14:paraId="493E7923" w14:textId="77777777" w:rsidR="005E1EB4" w:rsidRPr="008A096C" w:rsidRDefault="005E1EB4" w:rsidP="005E1EB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A096C">
        <w:rPr>
          <w:sz w:val="24"/>
          <w:szCs w:val="24"/>
        </w:rPr>
        <w:t>Minor/Module Stage B</w:t>
      </w:r>
    </w:p>
    <w:p w14:paraId="7CBA1797" w14:textId="77777777" w:rsidR="005E1EB4" w:rsidRDefault="005E1EB4" w:rsidP="005E1EB4">
      <w:pPr>
        <w:spacing w:after="0" w:line="240" w:lineRule="auto"/>
        <w:rPr>
          <w:sz w:val="24"/>
          <w:szCs w:val="24"/>
        </w:rPr>
      </w:pPr>
    </w:p>
    <w:p w14:paraId="0A2800EF" w14:textId="77777777" w:rsidR="005E1EB4" w:rsidRPr="000C3A6E" w:rsidRDefault="005E1EB4" w:rsidP="005E1EB4">
      <w:pPr>
        <w:spacing w:after="0" w:line="240" w:lineRule="auto"/>
        <w:rPr>
          <w:i/>
          <w:sz w:val="24"/>
        </w:rPr>
      </w:pPr>
      <w:r>
        <w:rPr>
          <w:sz w:val="24"/>
        </w:rPr>
        <w:t xml:space="preserve">Bij deze beoordeling gelden 30 van de 32 criteria uit het volledige beoordelingsformulier. Als </w:t>
      </w:r>
      <w:r w:rsidRPr="000C3A6E">
        <w:rPr>
          <w:sz w:val="24"/>
        </w:rPr>
        <w:t xml:space="preserve">streefniveau </w:t>
      </w:r>
      <w:r>
        <w:rPr>
          <w:sz w:val="24"/>
        </w:rPr>
        <w:t xml:space="preserve">geldt dat minstens </w:t>
      </w:r>
      <w:r w:rsidRPr="000C3A6E">
        <w:rPr>
          <w:sz w:val="24"/>
        </w:rPr>
        <w:t>1/3</w:t>
      </w:r>
      <w:r w:rsidRPr="000C3A6E">
        <w:rPr>
          <w:sz w:val="24"/>
          <w:vertAlign w:val="superscript"/>
        </w:rPr>
        <w:t>e</w:t>
      </w:r>
      <w:r w:rsidRPr="000C3A6E">
        <w:rPr>
          <w:sz w:val="24"/>
        </w:rPr>
        <w:t xml:space="preserve"> van de criteria op niveau 3</w:t>
      </w:r>
      <w:r>
        <w:rPr>
          <w:sz w:val="24"/>
        </w:rPr>
        <w:t xml:space="preserve"> is</w:t>
      </w:r>
      <w:r w:rsidRPr="000C3A6E">
        <w:rPr>
          <w:sz w:val="24"/>
        </w:rPr>
        <w:t xml:space="preserve">, </w:t>
      </w:r>
      <w:r>
        <w:rPr>
          <w:sz w:val="24"/>
        </w:rPr>
        <w:t>en de overige criteria op ni</w:t>
      </w:r>
      <w:r w:rsidRPr="000C3A6E">
        <w:rPr>
          <w:sz w:val="24"/>
        </w:rPr>
        <w:t xml:space="preserve">veau </w:t>
      </w:r>
      <w:r>
        <w:rPr>
          <w:sz w:val="24"/>
        </w:rPr>
        <w:t>2</w:t>
      </w:r>
      <w:r w:rsidRPr="000C3A6E">
        <w:rPr>
          <w:sz w:val="24"/>
        </w:rPr>
        <w:t>.</w:t>
      </w:r>
      <w:r>
        <w:rPr>
          <w:sz w:val="24"/>
        </w:rPr>
        <w:t xml:space="preserve"> </w:t>
      </w:r>
      <w:r w:rsidRPr="000C3A6E">
        <w:rPr>
          <w:i/>
          <w:sz w:val="24"/>
        </w:rPr>
        <w:t>Indicatoren op niveau 3 zijn daarom schuingedrukt weergegeven.</w:t>
      </w:r>
    </w:p>
    <w:p w14:paraId="653085F8" w14:textId="11905DA1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6A64977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4E452454" w14:textId="77777777" w:rsidR="00C447BE" w:rsidRPr="0096554D" w:rsidRDefault="00C447BE" w:rsidP="00C447BE">
      <w:pPr>
        <w:spacing w:after="0" w:line="240" w:lineRule="auto"/>
        <w:rPr>
          <w:b/>
          <w:bCs/>
          <w:sz w:val="24"/>
          <w:szCs w:val="24"/>
        </w:rPr>
      </w:pPr>
      <w:r w:rsidRPr="0096554D">
        <w:rPr>
          <w:b/>
          <w:bCs/>
          <w:sz w:val="24"/>
          <w:szCs w:val="24"/>
        </w:rPr>
        <w:t xml:space="preserve">Waarom </w:t>
      </w:r>
      <w:r>
        <w:rPr>
          <w:b/>
          <w:bCs/>
          <w:sz w:val="24"/>
          <w:szCs w:val="24"/>
        </w:rPr>
        <w:t xml:space="preserve">(ook) </w:t>
      </w:r>
      <w:r w:rsidRPr="0096554D">
        <w:rPr>
          <w:b/>
          <w:bCs/>
          <w:sz w:val="24"/>
          <w:szCs w:val="24"/>
        </w:rPr>
        <w:t xml:space="preserve">een Single Point </w:t>
      </w:r>
      <w:proofErr w:type="spellStart"/>
      <w:r w:rsidRPr="0096554D">
        <w:rPr>
          <w:b/>
          <w:bCs/>
          <w:sz w:val="24"/>
          <w:szCs w:val="24"/>
        </w:rPr>
        <w:t>Rubric</w:t>
      </w:r>
      <w:proofErr w:type="spellEnd"/>
      <w:r w:rsidRPr="0096554D">
        <w:rPr>
          <w:b/>
          <w:bCs/>
          <w:sz w:val="24"/>
          <w:szCs w:val="24"/>
        </w:rPr>
        <w:t>?</w:t>
      </w:r>
    </w:p>
    <w:p w14:paraId="4D8F8EF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Het Beoordelingsformulier Stages bevat een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waarin alle streefniveaus voor alle beoordelingsmomenten verzameld staan. Bij het oriënteren op de stage-eisen kan deze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overweldigend zijn. </w:t>
      </w:r>
    </w:p>
    <w:p w14:paraId="176D965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622E63CC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Een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bevat </w:t>
      </w:r>
      <w:r w:rsidRPr="005D7106">
        <w:rPr>
          <w:sz w:val="24"/>
          <w:szCs w:val="24"/>
        </w:rPr>
        <w:t xml:space="preserve">alleen die criteria en niveaus </w:t>
      </w:r>
      <w:r>
        <w:rPr>
          <w:sz w:val="24"/>
          <w:szCs w:val="24"/>
        </w:rPr>
        <w:t xml:space="preserve">die voor een specifieke beoordelingsmoment gelden. Hiermee kunnen studenten en begeleiders gericht oriënteren op wat verwacht wordt, welke kwaliteiten de student al laat zien, en wat mogelijke uitdagingen/aandachtspunten zijn om tijdens de stage aan te werken.  </w:t>
      </w:r>
    </w:p>
    <w:p w14:paraId="28B7662C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1ED77064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72A7B10" wp14:editId="63C008F3">
            <wp:extent cx="5760720" cy="3519170"/>
            <wp:effectExtent l="19050" t="19050" r="11430" b="24130"/>
            <wp:docPr id="1" name="Picture 1" descr="BBSingle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SinglePo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9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FF6DF7" w14:textId="77777777" w:rsidR="00C447BE" w:rsidRDefault="00C447BE" w:rsidP="00C447BE">
      <w:pPr>
        <w:pStyle w:val="Subtitle"/>
      </w:pPr>
      <w:r>
        <w:t xml:space="preserve">Figuur 1: Voorbeeld van een Single-Point </w:t>
      </w:r>
      <w:proofErr w:type="spellStart"/>
      <w:r>
        <w:t>Rubric</w:t>
      </w:r>
      <w:proofErr w:type="spellEnd"/>
    </w:p>
    <w:bookmarkEnd w:id="0"/>
    <w:p w14:paraId="21812C97" w14:textId="77777777" w:rsidR="009572A6" w:rsidRDefault="009572A6" w:rsidP="009572A6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3544"/>
      </w:tblGrid>
      <w:tr w:rsidR="00917E03" w:rsidRPr="004D2632" w14:paraId="36416B11" w14:textId="77777777" w:rsidTr="00666A1A">
        <w:tc>
          <w:tcPr>
            <w:tcW w:w="2977" w:type="dxa"/>
            <w:tcBorders>
              <w:bottom w:val="single" w:sz="4" w:space="0" w:color="auto"/>
            </w:tcBorders>
          </w:tcPr>
          <w:p w14:paraId="53C81585" w14:textId="77777777" w:rsidR="00917E03" w:rsidRPr="004D2632" w:rsidRDefault="00917E03" w:rsidP="00681FF8">
            <w:pPr>
              <w:jc w:val="center"/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lastRenderedPageBreak/>
              <w:t>Aandachtspunt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EE72E6" w14:textId="77777777" w:rsidR="00917E03" w:rsidRPr="004D2632" w:rsidRDefault="00917E03" w:rsidP="00681FF8">
            <w:pPr>
              <w:jc w:val="center"/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RUBRIC PROFESSIONAL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FBAA463" w14:textId="77777777" w:rsidR="00917E03" w:rsidRPr="004D2632" w:rsidRDefault="00917E03" w:rsidP="00681FF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917E03" w:rsidRPr="004D2632" w14:paraId="72F77E31" w14:textId="77777777" w:rsidTr="00EE579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B543D2" w14:textId="77777777" w:rsidR="00917E03" w:rsidRPr="004D2632" w:rsidRDefault="00917E03" w:rsidP="00681FF8">
            <w:pPr>
              <w:jc w:val="center"/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  <w:b/>
              </w:rPr>
              <w:t>Werkt aan eigen ontwikkeling en professionele identiteit</w:t>
            </w:r>
          </w:p>
        </w:tc>
      </w:tr>
      <w:tr w:rsidR="00681FF8" w:rsidRPr="004D2632" w14:paraId="06760519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B112C4" w14:textId="77777777" w:rsidR="00681FF8" w:rsidRPr="004D2632" w:rsidRDefault="00681FF8" w:rsidP="00681FF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29B182" w14:textId="77777777" w:rsidR="00681FF8" w:rsidRPr="004D2632" w:rsidRDefault="00681FF8" w:rsidP="00681FF8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(1) Houdt de eigen kennis en kunde bij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8BACEF" w14:textId="77777777" w:rsidR="00681FF8" w:rsidRPr="004D2632" w:rsidRDefault="00681FF8" w:rsidP="00681FF8">
            <w:pPr>
              <w:rPr>
                <w:rFonts w:ascii="Calibri Light" w:hAnsi="Calibri Light" w:cs="Calibri Light"/>
              </w:rPr>
            </w:pPr>
          </w:p>
        </w:tc>
      </w:tr>
      <w:tr w:rsidR="00FC775B" w:rsidRPr="004D2632" w14:paraId="11C4E90B" w14:textId="77777777" w:rsidTr="00666A1A">
        <w:trPr>
          <w:trHeight w:val="1308"/>
        </w:trPr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AE535D" w14:textId="77777777" w:rsidR="00FC775B" w:rsidRPr="004D2632" w:rsidRDefault="00FC775B" w:rsidP="00681FF8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9FFEC31" w14:textId="088622DF" w:rsidR="00FC775B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Deelt behandelde theorie en vraagt collega's naar praktijkkennis,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doet hieruit ideeën op om het eigen handelen te verbeteren,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5E1EB4">
              <w:rPr>
                <w:rFonts w:ascii="Calibri Light" w:hAnsi="Calibri Light" w:cs="Calibri Light"/>
                <w:i/>
                <w:iCs/>
              </w:rPr>
              <w:t>en ontwikkelt hiermee inzicht in onderliggende mechanismen en processen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7A14F9ED" w14:textId="77777777" w:rsidR="00FC775B" w:rsidRPr="004D2632" w:rsidRDefault="00FC775B" w:rsidP="00681FF8">
            <w:pPr>
              <w:rPr>
                <w:rFonts w:ascii="Calibri Light" w:hAnsi="Calibri Light" w:cs="Calibri Light"/>
              </w:rPr>
            </w:pPr>
          </w:p>
        </w:tc>
      </w:tr>
      <w:tr w:rsidR="00177908" w:rsidRPr="004D2632" w14:paraId="52D3E2E5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2D0CDC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5320CC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(2) Is actief in het eigen leren, denkt over het eigen leren na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1E19E3" w14:textId="77777777" w:rsidR="00177908" w:rsidRPr="004D2632" w:rsidRDefault="00177908" w:rsidP="00681FF8">
            <w:pPr>
              <w:rPr>
                <w:rFonts w:ascii="Calibri Light" w:hAnsi="Calibri Light" w:cs="Calibri Light"/>
              </w:rPr>
            </w:pPr>
          </w:p>
        </w:tc>
      </w:tr>
      <w:tr w:rsidR="00886873" w:rsidRPr="004D2632" w14:paraId="7BFF46CB" w14:textId="77777777" w:rsidTr="00666A1A">
        <w:trPr>
          <w:trHeight w:val="1252"/>
        </w:trPr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B44555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FCA3FB4" w14:textId="222E0A8D" w:rsidR="00886873" w:rsidRPr="004D2632" w:rsidRDefault="002932C8" w:rsidP="00666A1A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Leert vanuit eigen leervoorkeuren en leerbehoeften,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benoemt en bespreekt deze met begeleiders in de school,</w:t>
            </w:r>
            <w:r w:rsidR="00666A1A">
              <w:rPr>
                <w:rFonts w:ascii="Calibri Light" w:hAnsi="Calibri Light" w:cs="Calibri Light"/>
              </w:rPr>
              <w:t xml:space="preserve"> </w:t>
            </w:r>
            <w:r w:rsidRPr="005E1EB4">
              <w:rPr>
                <w:rFonts w:ascii="Calibri Light" w:hAnsi="Calibri Light" w:cs="Calibri Light"/>
                <w:i/>
                <w:iCs/>
              </w:rPr>
              <w:t>en evalueert met hen de effectiviteit van het eigen leren (en signaleert zo nodig problemen en belemmeringen)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14:paraId="3CFAC90A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</w:tr>
      <w:tr w:rsidR="00177908" w:rsidRPr="004D2632" w14:paraId="2C7619D0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4BC280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715993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(3) Onderzoekt de eigen onderwijspraktijk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865BA2" w14:textId="77777777" w:rsidR="00177908" w:rsidRPr="004D2632" w:rsidRDefault="00177908" w:rsidP="00681FF8">
            <w:pPr>
              <w:rPr>
                <w:rFonts w:ascii="Calibri Light" w:hAnsi="Calibri Light" w:cs="Calibri Light"/>
              </w:rPr>
            </w:pPr>
          </w:p>
        </w:tc>
      </w:tr>
      <w:tr w:rsidR="00886873" w:rsidRPr="004D2632" w14:paraId="0BF87862" w14:textId="77777777" w:rsidTr="00666A1A">
        <w:trPr>
          <w:trHeight w:val="1251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10BC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875C731" w14:textId="79F360A8" w:rsidR="00886873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Ziet leerlingen, collega’s en observaties als bronnen van informatie,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verzamelt hierbij gericht informatie vanuit eigen leervragen,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5E1EB4">
              <w:rPr>
                <w:rFonts w:ascii="Calibri Light" w:hAnsi="Calibri Light" w:cs="Calibri Light"/>
                <w:i/>
                <w:iCs/>
              </w:rPr>
              <w:t>en gebruikt deze informatie om het effect van het eigen handelen te begrijpen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67536D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3ED4D3F2" w14:textId="77777777" w:rsidTr="00E6205E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1D9B1F" w14:textId="77777777" w:rsidR="00A438B9" w:rsidRPr="004D2632" w:rsidRDefault="00A438B9" w:rsidP="00E6205E">
            <w:pPr>
              <w:jc w:val="center"/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  <w:b/>
              </w:rPr>
              <w:t>Werkt samen en toont professionaliteit</w:t>
            </w:r>
          </w:p>
        </w:tc>
      </w:tr>
      <w:tr w:rsidR="00A438B9" w:rsidRPr="004D2632" w14:paraId="503EA6B5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D3C309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EDD4C3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 xml:space="preserve">(5) Communiceert professioneel over leerlingen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801EC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46AE2E4A" w14:textId="77777777" w:rsidTr="00666A1A">
        <w:trPr>
          <w:trHeight w:val="1008"/>
        </w:trPr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8E3DC8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BFCCB74" w14:textId="752FAEE6" w:rsidR="00A438B9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Communiceert met collega’s over leerlingen,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is zich hierbij bewust van mogelijke vooroordelen, aannames</w:t>
            </w:r>
            <w:r w:rsidR="00E24A05">
              <w:rPr>
                <w:rFonts w:ascii="Calibri Light" w:hAnsi="Calibri Light" w:cs="Calibri Light"/>
              </w:rPr>
              <w:t>, eigen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ervaringen,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666A1A">
              <w:rPr>
                <w:rFonts w:ascii="Calibri Light" w:hAnsi="Calibri Light" w:cs="Calibri Light"/>
                <w:i/>
                <w:iCs/>
              </w:rPr>
              <w:t xml:space="preserve">en </w:t>
            </w:r>
            <w:r w:rsidR="00E24A05" w:rsidRPr="00666A1A">
              <w:rPr>
                <w:rFonts w:ascii="Calibri Light" w:hAnsi="Calibri Light" w:cs="Calibri Light"/>
                <w:i/>
                <w:iCs/>
              </w:rPr>
              <w:t>van meerdere</w:t>
            </w:r>
            <w:r w:rsidRPr="00666A1A">
              <w:rPr>
                <w:rFonts w:ascii="Calibri Light" w:hAnsi="Calibri Light" w:cs="Calibri Light"/>
                <w:i/>
                <w:iCs/>
              </w:rPr>
              <w:t xml:space="preserve"> perspectieven </w:t>
            </w:r>
            <w:r w:rsidR="00E24A05" w:rsidRPr="00666A1A">
              <w:rPr>
                <w:rFonts w:ascii="Calibri Light" w:hAnsi="Calibri Light" w:cs="Calibri Light"/>
                <w:i/>
                <w:iCs/>
              </w:rPr>
              <w:t xml:space="preserve">om </w:t>
            </w:r>
            <w:r w:rsidRPr="00666A1A">
              <w:rPr>
                <w:rFonts w:ascii="Calibri Light" w:hAnsi="Calibri Light" w:cs="Calibri Light"/>
                <w:i/>
                <w:iCs/>
              </w:rPr>
              <w:t>naar leerlingen</w:t>
            </w:r>
            <w:r w:rsidR="00E24A05" w:rsidRPr="00666A1A">
              <w:rPr>
                <w:rFonts w:ascii="Calibri Light" w:hAnsi="Calibri Light" w:cs="Calibri Light"/>
                <w:i/>
                <w:iCs/>
              </w:rPr>
              <w:t xml:space="preserve"> te kijken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161848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17CFD3CC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32A633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1EB9C8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(6) Stemt pedagogisch handelen af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A23E4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7FFAE2F7" w14:textId="77777777" w:rsidTr="00666A1A">
        <w:trPr>
          <w:trHeight w:val="1001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CF727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05E2E02" w14:textId="4388C573" w:rsidR="00A438B9" w:rsidRPr="004D2632" w:rsidRDefault="00EF4204" w:rsidP="00F31E9B">
            <w:pPr>
              <w:rPr>
                <w:rFonts w:ascii="Calibri Light" w:hAnsi="Calibri Light" w:cs="Calibri Light"/>
              </w:rPr>
            </w:pPr>
            <w:r w:rsidRPr="00EF4204">
              <w:rPr>
                <w:rFonts w:ascii="Calibri Light" w:hAnsi="Calibri Light" w:cs="Calibri Light"/>
              </w:rPr>
              <w:t xml:space="preserve">Bespreekt het eigen pedagogisch handelen met collega’s, en staat daarbij open voor suggesties van hen, </w:t>
            </w:r>
            <w:r w:rsidRPr="00666A1A">
              <w:rPr>
                <w:rFonts w:ascii="Calibri Light" w:hAnsi="Calibri Light" w:cs="Calibri Light"/>
                <w:i/>
                <w:iCs/>
              </w:rPr>
              <w:t>en stemt het eigen pedagogisch handelen met hen af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17B155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57BAFD28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B32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9FF49B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(7) Neemt deel aan de schoolorganisatie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7B72D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5013033F" w14:textId="77777777" w:rsidTr="00666A1A">
        <w:trPr>
          <w:trHeight w:val="1141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8ED022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D8E1C5" w14:textId="136E97F3" w:rsidR="00A438B9" w:rsidRPr="004D2632" w:rsidRDefault="00E24A05" w:rsidP="00F31E9B">
            <w:pPr>
              <w:rPr>
                <w:rFonts w:ascii="Calibri Light" w:hAnsi="Calibri Light" w:cs="Calibri Light"/>
              </w:rPr>
            </w:pPr>
            <w:r w:rsidRPr="00E24A05">
              <w:rPr>
                <w:rFonts w:ascii="Calibri Light" w:hAnsi="Calibri Light" w:cs="Calibri Light"/>
              </w:rPr>
              <w:t xml:space="preserve">Voert les-gebonden taken uit, en neemt deel aan niet-les gebonden activiteiten met leerlingen en/of ouders, </w:t>
            </w:r>
            <w:r w:rsidRPr="00666A1A">
              <w:rPr>
                <w:rFonts w:ascii="Calibri Light" w:hAnsi="Calibri Light" w:cs="Calibri Light"/>
                <w:i/>
                <w:iCs/>
              </w:rPr>
              <w:t>en aan overleg/vergaderingen met collega’s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59EE2C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</w:tbl>
    <w:p w14:paraId="04706C12" w14:textId="77777777" w:rsidR="00A438B9" w:rsidRDefault="00A438B9" w:rsidP="00A438B9"/>
    <w:p w14:paraId="67EE9C65" w14:textId="77777777" w:rsidR="00A438B9" w:rsidRDefault="00A438B9"/>
    <w:p w14:paraId="47F2AED3" w14:textId="77777777" w:rsidR="00EE5793" w:rsidRDefault="00EE5793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677"/>
        <w:gridCol w:w="2977"/>
      </w:tblGrid>
      <w:tr w:rsidR="00917E03" w:rsidRPr="004D2632" w14:paraId="410548BA" w14:textId="77777777" w:rsidTr="004D2632">
        <w:tc>
          <w:tcPr>
            <w:tcW w:w="2694" w:type="dxa"/>
            <w:tcBorders>
              <w:bottom w:val="single" w:sz="4" w:space="0" w:color="auto"/>
            </w:tcBorders>
          </w:tcPr>
          <w:p w14:paraId="4429B037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lastRenderedPageBreak/>
              <w:t>Aandachtspunt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E5A0679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RUBRIC PEDAGOOG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B7174A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917E03" w:rsidRPr="004D2632" w14:paraId="2CEB0A81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C3CF0E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  <w:b/>
              </w:rPr>
              <w:t>Creëert een veilig leerklimaat in de klas</w:t>
            </w:r>
          </w:p>
        </w:tc>
      </w:tr>
      <w:tr w:rsidR="00917E03" w:rsidRPr="004D2632" w14:paraId="192DB3A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FEB61B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9CFFF9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(1) Communiceert doelgericht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14EF51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1293365D" w14:textId="77777777" w:rsidTr="004D2632">
        <w:trPr>
          <w:trHeight w:val="115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5183C8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B57DDB3" w14:textId="38F2091A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Ziet het effect van de eigen manier van communiceren op leerlingen, 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past de eigen manier van communiceren daarop aan,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zet daarbij diverse vormen van communicatief gedrag in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14E0E3E3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0133E210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99386C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6484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(2) Bevordert het sociale klimaat in de klas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F7261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37D3C621" w14:textId="77777777" w:rsidTr="004D2632">
        <w:trPr>
          <w:trHeight w:val="61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7425CD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0A29166" w14:textId="39065EF9" w:rsidR="002932C8" w:rsidRPr="004D2632" w:rsidRDefault="002932C8" w:rsidP="002932C8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Signaleert de omgangsvormen in de klas,</w:t>
            </w:r>
          </w:p>
          <w:p w14:paraId="1B12CEF7" w14:textId="7BA88A23" w:rsidR="00886873" w:rsidRPr="004D2632" w:rsidRDefault="002932C8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en </w:t>
            </w:r>
            <w:r w:rsidR="00E24A05">
              <w:rPr>
                <w:rFonts w:asciiTheme="majorHAnsi" w:hAnsiTheme="majorHAnsi" w:cstheme="majorHAnsi"/>
              </w:rPr>
              <w:t xml:space="preserve">ziet en benut momenten om hierop invloed uit te oefenen, </w:t>
            </w:r>
            <w:r w:rsidR="00E24A05" w:rsidRPr="00666A1A">
              <w:rPr>
                <w:rFonts w:asciiTheme="majorHAnsi" w:hAnsiTheme="majorHAnsi" w:cstheme="majorHAnsi"/>
                <w:i/>
                <w:iCs/>
              </w:rPr>
              <w:t>en helpt leerlingen hierbij het effect van hun gedrag te zien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9AAC61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2056543A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649F01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34B9FC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(3) Toont leiderschap in groepen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CFE377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1DDA03E0" w14:textId="77777777" w:rsidTr="004D2632">
        <w:trPr>
          <w:trHeight w:val="886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029F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0032147" w14:textId="38540722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Zoekt naar manieren om gewenst gedrag van leerlingen te bevorderen, en corrigeert ongewenst gedrag,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maakt gedragsregels expliciet,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maakt heldere afspraken met leerlingen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206BF2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3A4D3B6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5D80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B6C90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(4) Stuurt het groepsproces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AB6A2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4372F80D" w14:textId="77777777" w:rsidTr="004D2632">
        <w:trPr>
          <w:trHeight w:val="886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63AA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A37AFC" w14:textId="56DD225C" w:rsidR="00886873" w:rsidRPr="004D2632" w:rsidRDefault="00E24A05" w:rsidP="00F31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Merkt verhoudingen in de groep op, en s</w:t>
            </w:r>
            <w:r w:rsidR="00A438B9" w:rsidRPr="004D2632">
              <w:rPr>
                <w:rFonts w:asciiTheme="majorHAnsi" w:hAnsiTheme="majorHAnsi" w:cstheme="majorHAnsi"/>
              </w:rPr>
              <w:t xml:space="preserve">ignaleert </w:t>
            </w:r>
            <w:r>
              <w:rPr>
                <w:rFonts w:asciiTheme="majorHAnsi" w:hAnsiTheme="majorHAnsi" w:cstheme="majorHAnsi"/>
              </w:rPr>
              <w:t xml:space="preserve">gewenste en </w:t>
            </w:r>
            <w:r w:rsidR="00A438B9" w:rsidRPr="004D2632">
              <w:rPr>
                <w:rFonts w:asciiTheme="majorHAnsi" w:hAnsiTheme="majorHAnsi" w:cstheme="majorHAnsi"/>
              </w:rPr>
              <w:t>gewenste groepsprocessen,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="00A438B9" w:rsidRPr="00666A1A">
              <w:rPr>
                <w:rFonts w:asciiTheme="majorHAnsi" w:hAnsiTheme="majorHAnsi" w:cstheme="majorHAnsi"/>
                <w:i/>
                <w:iCs/>
              </w:rPr>
              <w:t>en probeert het groepsproces te sturen en te begeleiden</w:t>
            </w:r>
            <w:r w:rsidR="00A438B9" w:rsidRPr="00666A1A">
              <w:rPr>
                <w:rFonts w:asciiTheme="majorHAnsi" w:hAnsiTheme="majorHAnsi" w:cstheme="majorHAnsi"/>
                <w:i/>
                <w:iCs/>
              </w:rPr>
              <w:tab/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B1F0E3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76E71DD8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849E0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  <w:b/>
              </w:rPr>
              <w:t>Houdt rekening met individuele verschillen tussen leerlingen</w:t>
            </w:r>
          </w:p>
        </w:tc>
      </w:tr>
      <w:tr w:rsidR="00917E03" w:rsidRPr="004D2632" w14:paraId="1ACB4E36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70D0E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0AAA8C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(5) Maakt veilig contact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D9007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5DF16F25" w14:textId="77777777" w:rsidTr="004D2632">
        <w:trPr>
          <w:trHeight w:val="693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84363A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F2102EB" w14:textId="77777777" w:rsidR="00A438B9" w:rsidRPr="004D2632" w:rsidRDefault="00A438B9" w:rsidP="00A438B9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Probeert contact met leerlingen te maken,</w:t>
            </w:r>
          </w:p>
          <w:p w14:paraId="35B13959" w14:textId="052D445D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en ziet wat er speelt bij leerlingen,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zorgt ervoor dat leerlingen zich op hun gemak voelen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F1EBD6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225B019E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41C8C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BFD761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(6) Geeft en krijgt vertrouwen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6655A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5DCB8D59" w14:textId="77777777" w:rsidTr="004D2632">
        <w:trPr>
          <w:trHeight w:val="549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59DA20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BDA9CB0" w14:textId="203E70CE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Luistert naar leerlingen en staat open voor hun inbreng,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erkent het perspectief van leerlingen,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bouwt bewust aan een band met leerlingen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B9C51B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204BDF1B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FA88CA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5E9814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(7) Heeft oog voor de algemene ontwikkeling van leerlingen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D2A49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49019766" w14:textId="77777777" w:rsidTr="004D2632">
        <w:trPr>
          <w:trHeight w:val="115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BAC536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E191AB1" w14:textId="701751A4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Praat met leerlingen over school, leren en hun prestaties, en over hun verdere ontwikkeling en hun interesses, ervaringen,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probeert hen hierin verder te helpen (gesprekjes, feedback, stimuleren</w:t>
            </w:r>
            <w:r w:rsidR="004D2632" w:rsidRPr="00666A1A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219FEF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33D2D50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9FC6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F48E73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(8) Stimuleert leerlingen om verantwoordelijkheid te leren nemen voor hun leerproces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9B0DC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1B41D8A5" w14:textId="77777777" w:rsidTr="004D2632">
        <w:trPr>
          <w:trHeight w:val="930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E647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F7B57E" w14:textId="49A3E31C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Spreekt leerlingen aan op het maken van werk,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stimuleert leerlingen om het eigen werk te plannen,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zet activiteiten in die leerlingen inzicht bieden in hun eigen leerproces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FA4BFD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0FBF2E53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11B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CE775F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(9) Speelt in op verschillen in sociaal-emotionele ontwikkeling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633D4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43B83D2F" w14:textId="77777777" w:rsidTr="004D2632">
        <w:trPr>
          <w:trHeight w:val="1423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60E59E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1C5D2E" w14:textId="400FD91A" w:rsidR="00886873" w:rsidRPr="004D2632" w:rsidRDefault="00A438B9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Herleidt gedrag soms tot sociaal-emotionele ontwikkeling van leerlingen,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signaleert en benoemt verschillen tussen leerlingen qua sociaal-emotionele ontwikkeling,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problemen of belemmeringen hierin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2F7C17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</w:tbl>
    <w:p w14:paraId="17D49883" w14:textId="298B3867" w:rsidR="00F31E9B" w:rsidRDefault="00F31E9B" w:rsidP="00FC775B">
      <w:pPr>
        <w:spacing w:after="0" w:line="240" w:lineRule="auto"/>
      </w:pP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677388" w:rsidRPr="004D2632" w14:paraId="646D41C3" w14:textId="77777777" w:rsidTr="00666A1A">
        <w:tc>
          <w:tcPr>
            <w:tcW w:w="2835" w:type="dxa"/>
            <w:tcBorders>
              <w:bottom w:val="single" w:sz="4" w:space="0" w:color="auto"/>
            </w:tcBorders>
          </w:tcPr>
          <w:p w14:paraId="51EBA38B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7EDF00C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RUBRIC VAKDIDACTICUS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E1EF36B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677388" w:rsidRPr="004D2632" w14:paraId="7AA9A3BA" w14:textId="77777777" w:rsidTr="00666A1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0B346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6A71AD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Bereidt onderwijs voor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97CD3F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6EC1EE1" w14:textId="77777777" w:rsidTr="00666A1A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FB1F77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F2ECAD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(1) Stelt leerdoelen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6E7785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28EDB550" w14:textId="77777777" w:rsidTr="00666A1A">
        <w:trPr>
          <w:trHeight w:val="1154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69775B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928F46A" w14:textId="4CD25C58" w:rsidR="00677388" w:rsidRPr="004D2632" w:rsidRDefault="00677388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Bereidt onderwijs voor aan de hand van gegeven leerdoelen,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formuleert zelf concrete en specifieke leerdoelen,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zorgt voor variatie in en samenhang tussen de leerdoelen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3335904D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144D9EE5" w14:textId="77777777" w:rsidTr="00666A1A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5181A6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E79100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(2) Bereidt leeractiviteiten en werkvormen voor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282B9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152141F4" w14:textId="77777777" w:rsidTr="00666A1A">
        <w:trPr>
          <w:trHeight w:val="617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D566B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C7D6E6" w14:textId="472D1076" w:rsidR="00677388" w:rsidRPr="004D2632" w:rsidRDefault="00677388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Kiest leeractiviteiten en werkvormen, en stemt deze af op de leerdoelen,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op de beginsituatie van de leerlingen en op het vakspecifieke onderdeel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6A8BED7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4F8A2B37" w14:textId="77777777" w:rsidTr="00666A1A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EBEAB5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97FD04" w14:textId="4408ECCF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(3) </w:t>
            </w:r>
            <w:r w:rsidR="00C447BE" w:rsidRPr="004D2632">
              <w:rPr>
                <w:rFonts w:asciiTheme="majorHAnsi" w:hAnsiTheme="majorHAnsi" w:cstheme="majorHAnsi"/>
                <w:b/>
              </w:rPr>
              <w:t>Richt de fysieke omgeving functioneel in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D26570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28227640" w14:textId="77777777" w:rsidTr="00666A1A">
        <w:trPr>
          <w:trHeight w:val="89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B94C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F0E499D" w14:textId="0C611462" w:rsidR="00677388" w:rsidRPr="004D2632" w:rsidRDefault="00C447BE" w:rsidP="00E24A05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Bereidt voor vanuit de bestaande lokaalinrichting,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signaleert hoe dit interactie beperkt en mogelijk maakt,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 xml:space="preserve">en </w:t>
            </w:r>
            <w:r w:rsidR="00E24A05" w:rsidRPr="00666A1A">
              <w:rPr>
                <w:rFonts w:asciiTheme="majorHAnsi" w:hAnsiTheme="majorHAnsi" w:cstheme="majorHAnsi"/>
                <w:i/>
                <w:iCs/>
              </w:rPr>
              <w:t>probeert alternatieve lokaalinrichtingen uit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2B09C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62BC244D" w14:textId="77777777" w:rsidTr="00666A1A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4B1E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919DE2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(4) Zorgt voor samenhang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2B4BB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7F9422F1" w14:textId="77777777" w:rsidTr="00666A1A">
        <w:trPr>
          <w:trHeight w:val="886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8AEB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A569B" w14:textId="167B3417" w:rsidR="00677388" w:rsidRPr="004D2632" w:rsidRDefault="00677388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Zorgt voor samenhang en opbouw tussen onderdelen van een les,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tussen opeenvolgende lessen, 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binnen een leereenheid rond een hoofdstuk, onderwerp of project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1945B5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50467CE6" w14:textId="77777777" w:rsidTr="00666A1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79629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586D5F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Voert onderwijs uit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68C47A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0ADE16F2" w14:textId="77777777" w:rsidTr="00666A1A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3251B5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75518B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(5) Geeft instructies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5EB3A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61D6A1AF" w14:textId="77777777" w:rsidTr="00666A1A">
        <w:trPr>
          <w:trHeight w:val="886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22F398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8E7D21B" w14:textId="553895DC" w:rsidR="00677388" w:rsidRPr="004D2632" w:rsidRDefault="00677388" w:rsidP="00677388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Geeft begrijpelijke instructies, en zorgt daarmee dat leerlingen weten wat van hen verwacht wordt,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stemt deze goed af op de taalbeheersing van alle leerlingen</w:t>
            </w:r>
            <w:r w:rsidRPr="004D2632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741F0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C100B75" w14:textId="77777777" w:rsidTr="00666A1A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05B07D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504CD4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(6) Gebruikt leertijd optimaal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03B4F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0B95526A" w14:textId="77777777" w:rsidTr="00666A1A">
        <w:trPr>
          <w:trHeight w:val="1164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946577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E3074D5" w14:textId="75EC9B67" w:rsidR="00677388" w:rsidRPr="004D2632" w:rsidRDefault="00677388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Is nieuwsgierig naar manieren om de leertijd optimaal te gebruiken,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probeert wisselmomenten en lesovergangen efficiënt te laten verlopen,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organiseert lessen efficiënt zodat weinig leertijd verloren gaat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F1354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16D19683" w14:textId="77777777" w:rsidTr="00666A1A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875843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52058A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(7) Activeert leerlingen, ook als leerbron voor elkaar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5B12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0B35E263" w14:textId="77777777" w:rsidTr="00666A1A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87D252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832D91A" w14:textId="1307C3A5" w:rsidR="00677388" w:rsidRPr="004D2632" w:rsidRDefault="00677388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Zet werkvormen in die (</w:t>
            </w:r>
            <w:proofErr w:type="spellStart"/>
            <w:r w:rsidRPr="004D2632">
              <w:rPr>
                <w:rFonts w:asciiTheme="majorHAnsi" w:hAnsiTheme="majorHAnsi" w:cstheme="majorHAnsi"/>
              </w:rPr>
              <w:t>inter</w:t>
            </w:r>
            <w:proofErr w:type="spellEnd"/>
            <w:r w:rsidRPr="004D2632">
              <w:rPr>
                <w:rFonts w:asciiTheme="majorHAnsi" w:hAnsiTheme="majorHAnsi" w:cstheme="majorHAnsi"/>
              </w:rPr>
              <w:t>)actief leren stimuleren, en stelt hierbij vragen en geeft taken die leerlingen tot nadenken aanzetten,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moedigt leerlingen hierbij aan elkaar vragen te stellen en uitleg te geven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BF83F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826DEFC" w14:textId="77777777" w:rsidTr="00666A1A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307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F2DCD3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(8) Stemt af op verschillen in beheersing van de lesstof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E56DA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EA7C855" w14:textId="77777777" w:rsidTr="00666A1A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4531B4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969C71" w14:textId="17E562FA" w:rsidR="00677388" w:rsidRPr="004D2632" w:rsidRDefault="00C447BE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Ziet verschillen tussen leerlingen qua tempo en beheersing,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speelt ad hoc op deze verschillen in,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biedt activiteiten die ruimte bieden voor deze verschillen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FC5DCF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</w:tbl>
    <w:p w14:paraId="3A1FC0A3" w14:textId="77777777" w:rsidR="00763832" w:rsidRDefault="00763832" w:rsidP="00FC775B">
      <w:pPr>
        <w:spacing w:after="0" w:line="240" w:lineRule="auto"/>
      </w:pPr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3260"/>
      </w:tblGrid>
      <w:tr w:rsidR="006D05A3" w:rsidRPr="004D2632" w14:paraId="4F562540" w14:textId="77777777" w:rsidTr="00666A1A">
        <w:tc>
          <w:tcPr>
            <w:tcW w:w="2977" w:type="dxa"/>
            <w:tcBorders>
              <w:bottom w:val="single" w:sz="4" w:space="0" w:color="auto"/>
            </w:tcBorders>
          </w:tcPr>
          <w:p w14:paraId="6F2DF7C4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lastRenderedPageBreak/>
              <w:t>Aandachtspunt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1871024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RUBRIC VAKDIDACTICUS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5830B52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6D05A3" w:rsidRPr="004D2632" w14:paraId="3232CD0E" w14:textId="77777777" w:rsidTr="00666A1A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DFE7A2" w14:textId="77777777" w:rsidR="006D05A3" w:rsidRPr="004D2632" w:rsidRDefault="006D05A3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61475" w14:textId="77777777" w:rsidR="006D05A3" w:rsidRPr="004D2632" w:rsidRDefault="006D05A3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Monitort en evalueert het leren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0BA7D8" w14:textId="77777777" w:rsidR="006D05A3" w:rsidRPr="004D2632" w:rsidRDefault="006D05A3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5E1ACE9A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F165C7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DA7F61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(10) Handelt formatief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5557EC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2360038B" w14:textId="77777777" w:rsidTr="00666A1A">
        <w:trPr>
          <w:trHeight w:val="1024"/>
        </w:trPr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74C9EE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C737D17" w14:textId="77777777" w:rsidR="00A23696" w:rsidRPr="004D2632" w:rsidRDefault="00A23696" w:rsidP="00A23696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Gaat na of leerlingen de lesstof begrijpen,</w:t>
            </w:r>
          </w:p>
          <w:p w14:paraId="2493010E" w14:textId="0609E013" w:rsidR="00886873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en of zij de lesdoelen bereiken,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stelt op basis hiervan inhoud en/of didactiek van volgende lessen bij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69C406A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2C29E5C8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74A797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4E1941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(11) Reflecteert op het eigen vakdidactisch handelen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2BC4CD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698E3F8F" w14:textId="77777777" w:rsidTr="00666A1A">
        <w:trPr>
          <w:trHeight w:val="1423"/>
        </w:trPr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61066A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FD111D9" w14:textId="43E5EF9A" w:rsidR="00886873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Benoemt eigen vakdidactische keuzes (doeltaal-voertaal, practica, concept-context),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zoekt naar onderbouwing van deze keuzes vanuit praktijkkennis en theorie,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evalueert deze keuzes in de eigen onderwijspraktijk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22A686CE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790E9678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295008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EFF8C7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(12) Toetst leeruitkomsten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27DB23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F75D7" w:rsidRPr="004D2632" w14:paraId="77F5AB4A" w14:textId="77777777" w:rsidTr="00666A1A">
        <w:trPr>
          <w:trHeight w:val="1154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AF61BF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F026547" w14:textId="48ABA5BB" w:rsidR="006F75D7" w:rsidRPr="004D2632" w:rsidRDefault="00A23696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Gebruikt gegeven toetsen en correctie modellen (collega's, schoolboek),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</w:t>
            </w:r>
            <w:r w:rsidR="00666A1A">
              <w:rPr>
                <w:rFonts w:asciiTheme="majorHAnsi" w:hAnsiTheme="majorHAnsi" w:cstheme="majorHAnsi"/>
              </w:rPr>
              <w:t xml:space="preserve">signaleert verbetermogelijkheden, </w:t>
            </w:r>
            <w:r w:rsidR="00666A1A" w:rsidRPr="00666A1A">
              <w:rPr>
                <w:rFonts w:asciiTheme="majorHAnsi" w:hAnsiTheme="majorHAnsi" w:cstheme="majorHAnsi"/>
                <w:i/>
                <w:iCs/>
              </w:rPr>
              <w:t xml:space="preserve">en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past deze aan of verbetert deze waar nodig,</w:t>
            </w:r>
            <w:r w:rsidRPr="004D2632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F43082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294F756D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B56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5A89FC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(13) Signaleert leermoeilijkheden in het vak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C56EB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F75D7" w:rsidRPr="004D2632" w14:paraId="58BF698E" w14:textId="77777777" w:rsidTr="00666A1A">
        <w:trPr>
          <w:trHeight w:val="1423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589A68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0213CD" w14:textId="0EDB9ABD" w:rsidR="006F75D7" w:rsidRPr="004D2632" w:rsidRDefault="00A23696" w:rsidP="00E24A05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Neemt kennis van leermoeilijkheden van leerlingen in het schoolvak,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="00666A1A" w:rsidRPr="008A096C">
              <w:rPr>
                <w:rFonts w:asciiTheme="majorHAnsi" w:hAnsiTheme="majorHAnsi" w:cstheme="majorHAnsi"/>
              </w:rPr>
              <w:t xml:space="preserve">en signaleert deze bij het voorbereiden, uitvoeren en/of evalueren van onderwijsactiviteiten, </w:t>
            </w:r>
            <w:r w:rsidR="00666A1A" w:rsidRPr="00666A1A">
              <w:rPr>
                <w:rFonts w:asciiTheme="majorHAnsi" w:hAnsiTheme="majorHAnsi" w:cstheme="majorHAnsi"/>
                <w:i/>
                <w:iCs/>
              </w:rPr>
              <w:t>en zoekt daarvoor oplossingen, indien nodig samen met collega’s,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BE75F0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5EA911F0" w14:textId="77777777" w:rsidTr="00666A1A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A89492" w14:textId="77777777" w:rsidR="00A23696" w:rsidRPr="004D2632" w:rsidRDefault="00A23696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586121" w14:textId="77777777" w:rsidR="00A23696" w:rsidRPr="004D2632" w:rsidRDefault="00A23696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Zet eigen vakkennis gericht in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9322C1" w14:textId="77777777" w:rsidR="00A23696" w:rsidRPr="004D2632" w:rsidRDefault="00A23696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75453EE5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221D80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D26DE7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(14) Beheerst de </w:t>
            </w:r>
            <w:proofErr w:type="spellStart"/>
            <w:r w:rsidRPr="004D2632">
              <w:rPr>
                <w:rFonts w:asciiTheme="majorHAnsi" w:hAnsiTheme="majorHAnsi" w:cstheme="majorHAnsi"/>
                <w:b/>
              </w:rPr>
              <w:t>vakinhoud</w:t>
            </w:r>
            <w:proofErr w:type="spellEnd"/>
            <w:r w:rsidRPr="004D263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EE573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15745182" w14:textId="77777777" w:rsidTr="00666A1A">
        <w:trPr>
          <w:trHeight w:val="886"/>
        </w:trPr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8ADA63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C2F0BE1" w14:textId="02C97DC3" w:rsidR="00A23696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Gebruikt de methode als leidraad,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voegt vak inhoud toe, (actualiteit, voorbeelden, toepassingen, verrijking),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verzorgt onderwijs los van de methode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E78F60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11B5EFED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67B6FA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E36AFC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(15) Maakt leren betekenisvol en interessant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C4168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75D091E6" w14:textId="77777777" w:rsidTr="00666A1A">
        <w:trPr>
          <w:trHeight w:val="1154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12F8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E4F0A" w14:textId="06EA43C9" w:rsidR="00A23696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Activeert voorkennis van leerlingen over de leerstof,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verbindt dit met de leef- en belevingswereld van leerlingen,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maakt de gebruikswaarde van de leerstof duidelijk  voor leerlingen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6AF89D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5394D4E9" w14:textId="77777777" w:rsidTr="00666A1A"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7A0FED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C1DC2D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(16) Reflecteert op de gehanteerde visie binnen het schoolvak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88575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37E9A92D" w14:textId="77777777" w:rsidTr="00666A1A">
        <w:trPr>
          <w:trHeight w:val="1154"/>
        </w:trPr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CEB5" w14:textId="77777777" w:rsidR="00A23696" w:rsidRPr="004D2632" w:rsidRDefault="00A23696" w:rsidP="00E6205E">
            <w:pPr>
              <w:spacing w:after="40"/>
              <w:rPr>
                <w:rFonts w:asciiTheme="majorHAnsi" w:hAnsiTheme="majorHAnsi" w:cstheme="majorHAnsi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7FB38F" w14:textId="6437345C" w:rsidR="00A23696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Verkent de eigen visie op de inhoud en didactiek van het schoolvak,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relateert deze aan de visie van de vaksectie,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666A1A">
              <w:rPr>
                <w:rFonts w:asciiTheme="majorHAnsi" w:hAnsiTheme="majorHAnsi" w:cstheme="majorHAnsi"/>
                <w:i/>
                <w:iCs/>
              </w:rPr>
              <w:t>en aan landelijke eindtermen en het examenprogramma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185109" w14:textId="77777777" w:rsidR="00A23696" w:rsidRPr="004D2632" w:rsidRDefault="00A23696" w:rsidP="00E6205E">
            <w:pPr>
              <w:spacing w:after="40"/>
              <w:rPr>
                <w:rFonts w:asciiTheme="majorHAnsi" w:hAnsiTheme="majorHAnsi" w:cstheme="majorHAnsi"/>
              </w:rPr>
            </w:pPr>
          </w:p>
        </w:tc>
      </w:tr>
    </w:tbl>
    <w:p w14:paraId="1A0BF433" w14:textId="77777777" w:rsidR="00E41FF5" w:rsidRDefault="00E41FF5"/>
    <w:sectPr w:rsidR="00E41FF5" w:rsidSect="003E4530">
      <w:headerReference w:type="default" r:id="rId9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3DAC" w14:textId="77777777" w:rsidR="00763832" w:rsidRDefault="00763832" w:rsidP="00763832">
      <w:pPr>
        <w:spacing w:after="0" w:line="240" w:lineRule="auto"/>
      </w:pPr>
      <w:r>
        <w:separator/>
      </w:r>
    </w:p>
  </w:endnote>
  <w:endnote w:type="continuationSeparator" w:id="0">
    <w:p w14:paraId="48B4B392" w14:textId="77777777" w:rsidR="00763832" w:rsidRDefault="00763832" w:rsidP="0076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FBA1" w14:textId="77777777" w:rsidR="00763832" w:rsidRDefault="00763832" w:rsidP="00763832">
      <w:pPr>
        <w:spacing w:after="0" w:line="240" w:lineRule="auto"/>
      </w:pPr>
      <w:r>
        <w:separator/>
      </w:r>
    </w:p>
  </w:footnote>
  <w:footnote w:type="continuationSeparator" w:id="0">
    <w:p w14:paraId="19011535" w14:textId="77777777" w:rsidR="00763832" w:rsidRDefault="00763832" w:rsidP="00763832">
      <w:pPr>
        <w:spacing w:after="0" w:line="240" w:lineRule="auto"/>
      </w:pPr>
      <w:r>
        <w:continuationSeparator/>
      </w:r>
    </w:p>
  </w:footnote>
  <w:footnote w:id="1">
    <w:p w14:paraId="592440F2" w14:textId="77777777" w:rsidR="00C447BE" w:rsidRPr="0059494B" w:rsidRDefault="00C447BE" w:rsidP="00C447BE">
      <w:pPr>
        <w:pStyle w:val="FootnoteText"/>
      </w:pPr>
      <w:r>
        <w:rPr>
          <w:rStyle w:val="FootnoteReference"/>
        </w:rPr>
        <w:footnoteRef/>
      </w:r>
      <w:r>
        <w:t xml:space="preserve"> Zie </w:t>
      </w:r>
      <w:hyperlink r:id="rId1" w:history="1">
        <w:r w:rsidRPr="0059494B">
          <w:rPr>
            <w:rStyle w:val="Hyperlink"/>
            <w:szCs w:val="24"/>
          </w:rPr>
          <w:t>https://www.cultofpedagogy.com/single-point-rubric/</w:t>
        </w:r>
      </w:hyperlink>
      <w:r>
        <w:rPr>
          <w:szCs w:val="24"/>
        </w:rPr>
        <w:t xml:space="preserve">. </w:t>
      </w:r>
    </w:p>
  </w:footnote>
  <w:footnote w:id="2">
    <w:p w14:paraId="5EDC689E" w14:textId="77777777" w:rsidR="00C447BE" w:rsidRPr="0059494B" w:rsidRDefault="00C447BE" w:rsidP="00C447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494B">
        <w:t xml:space="preserve">Zie </w:t>
      </w:r>
      <w:hyperlink r:id="rId2" w:history="1">
        <w:r w:rsidRPr="008908A4">
          <w:rPr>
            <w:rStyle w:val="Hyperlink"/>
          </w:rPr>
          <w:t>https://www.cultofpedagogy.com/holistic-analytic-single-point-rubrics/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1404" w14:textId="0B4C31EF" w:rsidR="00C447BE" w:rsidRPr="00323258" w:rsidRDefault="0050571B" w:rsidP="00710607">
    <w:pPr>
      <w:pStyle w:val="Header"/>
      <w:rPr>
        <w:sz w:val="24"/>
        <w:lang w:val="en-US"/>
      </w:rPr>
    </w:pPr>
    <w:r>
      <w:rPr>
        <w:sz w:val="24"/>
        <w:lang w:val="en-US"/>
      </w:rPr>
      <w:t>Single Point Rubric Stage Radboud Docenten Academie 2022-2023</w:t>
    </w:r>
    <w:r w:rsidR="00710607">
      <w:rPr>
        <w:sz w:val="24"/>
        <w:lang w:val="en-US"/>
      </w:rPr>
      <w:t xml:space="preserve"> – </w:t>
    </w:r>
    <w:proofErr w:type="spellStart"/>
    <w:r w:rsidR="00C447BE">
      <w:rPr>
        <w:sz w:val="24"/>
        <w:lang w:val="en-US"/>
      </w:rPr>
      <w:t>Streefniveau</w:t>
    </w:r>
    <w:proofErr w:type="spellEnd"/>
    <w:r w:rsidR="00C447BE">
      <w:rPr>
        <w:sz w:val="24"/>
        <w:lang w:val="en-US"/>
      </w:rPr>
      <w:t xml:space="preserve"> </w:t>
    </w:r>
    <w:r w:rsidR="00666A1A">
      <w:rPr>
        <w:sz w:val="24"/>
        <w:lang w:val="en-US"/>
      </w:rPr>
      <w:t>2/</w:t>
    </w:r>
    <w:r w:rsidR="004D2632">
      <w:rPr>
        <w:sz w:val="24"/>
        <w:lang w:val="en-US"/>
      </w:rPr>
      <w:t>3</w:t>
    </w:r>
  </w:p>
  <w:p w14:paraId="2A559C11" w14:textId="5961C5B8" w:rsidR="00763832" w:rsidRPr="00C447BE" w:rsidRDefault="00763832" w:rsidP="00C44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98A"/>
    <w:multiLevelType w:val="hybridMultilevel"/>
    <w:tmpl w:val="47841EB2"/>
    <w:lvl w:ilvl="0" w:tplc="D8E6A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04EC2"/>
    <w:multiLevelType w:val="hybridMultilevel"/>
    <w:tmpl w:val="62664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D06BE"/>
    <w:multiLevelType w:val="hybridMultilevel"/>
    <w:tmpl w:val="8FD0A1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89"/>
    <w:rsid w:val="00175BCE"/>
    <w:rsid w:val="00177908"/>
    <w:rsid w:val="00183E3A"/>
    <w:rsid w:val="00253BC1"/>
    <w:rsid w:val="0027600F"/>
    <w:rsid w:val="002932C8"/>
    <w:rsid w:val="0029783C"/>
    <w:rsid w:val="003001F8"/>
    <w:rsid w:val="003E4530"/>
    <w:rsid w:val="00450EE4"/>
    <w:rsid w:val="004B6FCC"/>
    <w:rsid w:val="004D2632"/>
    <w:rsid w:val="0050571B"/>
    <w:rsid w:val="00593485"/>
    <w:rsid w:val="0059494B"/>
    <w:rsid w:val="005D7106"/>
    <w:rsid w:val="005E1EB4"/>
    <w:rsid w:val="00666A1A"/>
    <w:rsid w:val="00677388"/>
    <w:rsid w:val="00681FF8"/>
    <w:rsid w:val="006A7D1C"/>
    <w:rsid w:val="006D05A3"/>
    <w:rsid w:val="006D38AD"/>
    <w:rsid w:val="006F75D7"/>
    <w:rsid w:val="00703591"/>
    <w:rsid w:val="00710607"/>
    <w:rsid w:val="00763832"/>
    <w:rsid w:val="007C7645"/>
    <w:rsid w:val="007F744C"/>
    <w:rsid w:val="0083368D"/>
    <w:rsid w:val="00850194"/>
    <w:rsid w:val="00886873"/>
    <w:rsid w:val="00917E03"/>
    <w:rsid w:val="009572A6"/>
    <w:rsid w:val="009B7C85"/>
    <w:rsid w:val="009F5B96"/>
    <w:rsid w:val="00A23696"/>
    <w:rsid w:val="00A438B9"/>
    <w:rsid w:val="00A51F3C"/>
    <w:rsid w:val="00C447BE"/>
    <w:rsid w:val="00CE4B34"/>
    <w:rsid w:val="00D36AAA"/>
    <w:rsid w:val="00E24A05"/>
    <w:rsid w:val="00E41FF5"/>
    <w:rsid w:val="00EE5793"/>
    <w:rsid w:val="00EF4204"/>
    <w:rsid w:val="00EF7E31"/>
    <w:rsid w:val="00F31E9B"/>
    <w:rsid w:val="00FA2289"/>
    <w:rsid w:val="00FC775B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8DB7"/>
  <w15:chartTrackingRefBased/>
  <w15:docId w15:val="{9E2E14CE-B46C-4F71-9540-1B92BD30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1F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32"/>
  </w:style>
  <w:style w:type="paragraph" w:styleId="Footer">
    <w:name w:val="footer"/>
    <w:basedOn w:val="Normal"/>
    <w:link w:val="Foot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32"/>
  </w:style>
  <w:style w:type="paragraph" w:styleId="ListParagraph">
    <w:name w:val="List Paragraph"/>
    <w:basedOn w:val="Normal"/>
    <w:uiPriority w:val="34"/>
    <w:qFormat/>
    <w:rsid w:val="009F5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94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94B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7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47BE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44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ultofpedagogy.com/holistic-analytic-single-point-rubrics/" TargetMode="External"/><Relationship Id="rId1" Type="http://schemas.openxmlformats.org/officeDocument/2006/relationships/hyperlink" Target="https://www.cultofpedagogy.com/single-point-rubr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120E-805B-48A2-81A8-C4558F68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1337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Ginkel, G.V.M. van (Gisbert)</dc:creator>
  <cp:keywords/>
  <dc:description/>
  <cp:lastModifiedBy>Ginkel, G.V.M. van (Gisbert)</cp:lastModifiedBy>
  <cp:revision>6</cp:revision>
  <dcterms:created xsi:type="dcterms:W3CDTF">2022-08-24T12:15:00Z</dcterms:created>
  <dcterms:modified xsi:type="dcterms:W3CDTF">2022-08-29T11:36:00Z</dcterms:modified>
</cp:coreProperties>
</file>