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9B88" w14:textId="5CBD3D3B" w:rsidR="005E6346" w:rsidRPr="00626453" w:rsidRDefault="005E6346" w:rsidP="005E6346">
      <w:pPr>
        <w:rPr>
          <w:rFonts w:cstheme="minorHAnsi"/>
          <w:i/>
          <w:lang w:val="en-GB"/>
        </w:rPr>
      </w:pPr>
      <w:r w:rsidRPr="00626453">
        <w:rPr>
          <w:rFonts w:eastAsia="Arial" w:cstheme="minorHAnsi"/>
          <w:b/>
          <w:i/>
          <w:lang w:val="en-GB" w:bidi="en-GB"/>
        </w:rPr>
        <w:t xml:space="preserve">Form D: Application for the Mohrmann Fellowship Career Track for a </w:t>
      </w:r>
      <w:r w:rsidR="00265692">
        <w:rPr>
          <w:rFonts w:eastAsia="Arial" w:cstheme="minorHAnsi"/>
          <w:b/>
          <w:i/>
          <w:lang w:val="en-GB" w:bidi="en-GB"/>
        </w:rPr>
        <w:t>Female</w:t>
      </w:r>
      <w:r w:rsidRPr="00626453">
        <w:rPr>
          <w:rFonts w:eastAsia="Arial" w:cstheme="minorHAnsi"/>
          <w:b/>
          <w:i/>
          <w:lang w:val="en-GB" w:bidi="en-GB"/>
        </w:rPr>
        <w:t xml:space="preserve"> Academic</w:t>
      </w:r>
    </w:p>
    <w:p w14:paraId="71705EDC" w14:textId="77777777" w:rsidR="005E6346" w:rsidRPr="00626453" w:rsidRDefault="005E6346" w:rsidP="005E6346">
      <w:pPr>
        <w:rPr>
          <w:rFonts w:cstheme="minorHAnsi"/>
          <w:b/>
          <w:i/>
          <w:lang w:val="en-GB"/>
        </w:rPr>
      </w:pPr>
    </w:p>
    <w:p w14:paraId="7EF40F70" w14:textId="0D163275" w:rsidR="005E6346" w:rsidRPr="00626453" w:rsidRDefault="005E6346" w:rsidP="005E6346">
      <w:pPr>
        <w:pStyle w:val="BodyText"/>
        <w:ind w:left="0" w:right="260"/>
        <w:rPr>
          <w:rFonts w:asciiTheme="minorHAnsi" w:hAnsiTheme="minorHAnsi" w:cstheme="minorHAnsi"/>
          <w:b/>
          <w:sz w:val="22"/>
          <w:szCs w:val="22"/>
          <w:lang w:val="en-GB"/>
        </w:rPr>
      </w:pPr>
      <w:r w:rsidRPr="00626453">
        <w:rPr>
          <w:rFonts w:asciiTheme="minorHAnsi" w:hAnsiTheme="minorHAnsi" w:cstheme="minorHAnsi"/>
          <w:b/>
          <w:sz w:val="22"/>
          <w:szCs w:val="22"/>
          <w:lang w:val="en-GB" w:bidi="en-GB"/>
        </w:rPr>
        <w:t>Purpose of the Mohrmann Fund with Regard to the Appointment of a Fellow</w:t>
      </w:r>
    </w:p>
    <w:p w14:paraId="74012A5B" w14:textId="279A5978" w:rsidR="005E6346" w:rsidRPr="00626453" w:rsidRDefault="005E6346" w:rsidP="005E6346">
      <w:pPr>
        <w:rPr>
          <w:rFonts w:eastAsia="Arial" w:cstheme="minorHAnsi"/>
          <w:lang w:val="en-GB"/>
        </w:rPr>
      </w:pPr>
      <w:r w:rsidRPr="00626453">
        <w:rPr>
          <w:rFonts w:cstheme="minorHAnsi"/>
          <w:lang w:val="en-GB" w:bidi="en-GB"/>
        </w:rPr>
        <w:t>The Executive Board makes temporary resources from the Christine Mohrmann Fund available for the</w:t>
      </w:r>
      <w:r w:rsidR="00AA14A0" w:rsidRPr="00626453">
        <w:rPr>
          <w:rFonts w:cstheme="minorHAnsi"/>
          <w:lang w:val="en-GB" w:bidi="en-GB"/>
        </w:rPr>
        <w:t xml:space="preserve"> </w:t>
      </w:r>
      <w:r w:rsidRPr="00626453">
        <w:rPr>
          <w:rFonts w:cstheme="minorHAnsi"/>
          <w:lang w:val="en-GB" w:bidi="en-GB"/>
        </w:rPr>
        <w:t>accelerated promotion of talented academics if the criteria below are met.</w:t>
      </w:r>
    </w:p>
    <w:p w14:paraId="6BC2C9D6" w14:textId="77777777" w:rsidR="005E6346" w:rsidRPr="00626453" w:rsidRDefault="005E6346" w:rsidP="005E6346">
      <w:pPr>
        <w:pStyle w:val="ListParagraph"/>
        <w:tabs>
          <w:tab w:val="left" w:pos="453"/>
        </w:tabs>
        <w:ind w:right="260"/>
        <w:rPr>
          <w:rFonts w:cstheme="minorHAnsi"/>
          <w:i/>
          <w:lang w:val="en-GB"/>
        </w:rPr>
      </w:pPr>
    </w:p>
    <w:p w14:paraId="2AC5FC6C" w14:textId="77777777" w:rsidR="005E6346" w:rsidRPr="00626453" w:rsidRDefault="005E6346" w:rsidP="005E6346">
      <w:pPr>
        <w:pStyle w:val="ListParagraph"/>
        <w:numPr>
          <w:ilvl w:val="0"/>
          <w:numId w:val="2"/>
        </w:numPr>
        <w:tabs>
          <w:tab w:val="left" w:pos="355"/>
        </w:tabs>
        <w:ind w:right="630"/>
        <w:rPr>
          <w:rFonts w:eastAsia="Arial" w:cstheme="minorHAnsi"/>
          <w:lang w:val="en-GB"/>
        </w:rPr>
      </w:pPr>
      <w:r w:rsidRPr="00626453">
        <w:rPr>
          <w:rFonts w:cstheme="minorHAnsi"/>
          <w:i/>
          <w:lang w:val="en-GB" w:bidi="en-GB"/>
        </w:rPr>
        <w:t>The career track involves a staff member who is permanently employed by Radboud University as a researcher, assistant professor, or associate professor.</w:t>
      </w:r>
    </w:p>
    <w:p w14:paraId="08718172" w14:textId="77777777" w:rsidR="005E6346" w:rsidRPr="00626453" w:rsidRDefault="005E6346" w:rsidP="005E6346">
      <w:pPr>
        <w:pStyle w:val="ListParagraph"/>
        <w:tabs>
          <w:tab w:val="left" w:pos="355"/>
        </w:tabs>
        <w:ind w:right="630"/>
        <w:rPr>
          <w:rFonts w:eastAsia="Arial" w:cstheme="minorHAnsi"/>
          <w:lang w:val="en-GB"/>
        </w:rPr>
      </w:pPr>
    </w:p>
    <w:p w14:paraId="057FAD76" w14:textId="77777777" w:rsidR="005E6346" w:rsidRPr="00626453" w:rsidRDefault="005E6346" w:rsidP="005E6346">
      <w:pPr>
        <w:pStyle w:val="ListParagraph"/>
        <w:tabs>
          <w:tab w:val="left" w:pos="355"/>
        </w:tabs>
        <w:ind w:right="1031"/>
        <w:rPr>
          <w:rFonts w:eastAsia="Arial" w:cstheme="minorHAnsi"/>
          <w:b/>
          <w:lang w:val="en-GB"/>
        </w:rPr>
      </w:pPr>
      <w:r w:rsidRPr="00626453">
        <w:rPr>
          <w:rFonts w:cstheme="minorHAnsi"/>
          <w:b/>
          <w:i/>
          <w:lang w:val="en-GB" w:bidi="en-GB"/>
        </w:rPr>
        <w:t>Explanation</w:t>
      </w:r>
    </w:p>
    <w:tbl>
      <w:tblPr>
        <w:tblStyle w:val="TableGrid"/>
        <w:tblW w:w="0" w:type="auto"/>
        <w:tblInd w:w="-5" w:type="dxa"/>
        <w:tblLook w:val="04A0" w:firstRow="1" w:lastRow="0" w:firstColumn="1" w:lastColumn="0" w:noHBand="0" w:noVBand="1"/>
      </w:tblPr>
      <w:tblGrid>
        <w:gridCol w:w="9067"/>
      </w:tblGrid>
      <w:tr w:rsidR="005E6346" w:rsidRPr="00626453" w14:paraId="253E721C" w14:textId="77777777" w:rsidTr="006936BA">
        <w:tc>
          <w:tcPr>
            <w:tcW w:w="9067" w:type="dxa"/>
          </w:tcPr>
          <w:p w14:paraId="0E2E4071" w14:textId="77777777" w:rsidR="005E6346" w:rsidRPr="00626453" w:rsidRDefault="005E6346" w:rsidP="006936BA">
            <w:pPr>
              <w:tabs>
                <w:tab w:val="left" w:pos="355"/>
              </w:tabs>
              <w:ind w:right="516"/>
              <w:rPr>
                <w:rFonts w:eastAsia="Arial" w:cstheme="minorHAnsi"/>
                <w:b/>
                <w:lang w:val="en-GB"/>
              </w:rPr>
            </w:pPr>
          </w:p>
          <w:p w14:paraId="1F6AE7D9" w14:textId="77777777" w:rsidR="005E6346" w:rsidRPr="00626453" w:rsidRDefault="005E6346" w:rsidP="006936BA">
            <w:pPr>
              <w:tabs>
                <w:tab w:val="left" w:pos="355"/>
              </w:tabs>
              <w:ind w:right="516"/>
              <w:rPr>
                <w:rFonts w:eastAsia="Arial" w:cstheme="minorHAnsi"/>
                <w:b/>
                <w:lang w:val="en-GB"/>
              </w:rPr>
            </w:pPr>
          </w:p>
          <w:p w14:paraId="634D3D88" w14:textId="77777777" w:rsidR="005E6346" w:rsidRPr="00626453" w:rsidRDefault="005E6346" w:rsidP="006936BA">
            <w:pPr>
              <w:tabs>
                <w:tab w:val="left" w:pos="355"/>
              </w:tabs>
              <w:ind w:right="516"/>
              <w:rPr>
                <w:rFonts w:eastAsia="Arial" w:cstheme="minorHAnsi"/>
                <w:b/>
                <w:lang w:val="en-GB"/>
              </w:rPr>
            </w:pPr>
          </w:p>
        </w:tc>
      </w:tr>
    </w:tbl>
    <w:p w14:paraId="67AC5EA2" w14:textId="77777777" w:rsidR="005E6346" w:rsidRPr="00626453" w:rsidRDefault="005E6346" w:rsidP="005E6346">
      <w:pPr>
        <w:tabs>
          <w:tab w:val="left" w:pos="355"/>
        </w:tabs>
        <w:ind w:right="630"/>
        <w:rPr>
          <w:rFonts w:eastAsia="Arial" w:cstheme="minorHAnsi"/>
          <w:lang w:val="en-GB"/>
        </w:rPr>
      </w:pPr>
    </w:p>
    <w:p w14:paraId="5AB74B1C" w14:textId="66F5FFA3" w:rsidR="005E6346" w:rsidRPr="00626453" w:rsidRDefault="005E6346" w:rsidP="005E6346">
      <w:pPr>
        <w:pStyle w:val="ListParagraph"/>
        <w:numPr>
          <w:ilvl w:val="0"/>
          <w:numId w:val="1"/>
        </w:numPr>
        <w:tabs>
          <w:tab w:val="left" w:pos="453"/>
        </w:tabs>
        <w:ind w:left="0" w:right="260" w:firstLine="0"/>
        <w:rPr>
          <w:rFonts w:eastAsia="Arial" w:cstheme="minorHAnsi"/>
          <w:lang w:val="en-GB"/>
        </w:rPr>
      </w:pPr>
      <w:r w:rsidRPr="00626453">
        <w:rPr>
          <w:rFonts w:cstheme="minorHAnsi"/>
          <w:i/>
          <w:lang w:val="en-GB" w:bidi="en-GB"/>
        </w:rPr>
        <w:t>The unit describes the career track itself in concrete terms and the conditions that must be met if the track is to be completed successfully as well as the performance criteria to be met.</w:t>
      </w:r>
    </w:p>
    <w:p w14:paraId="44C95E58" w14:textId="77777777" w:rsidR="005E6346" w:rsidRPr="00626453" w:rsidRDefault="005E6346" w:rsidP="005E6346">
      <w:pPr>
        <w:pStyle w:val="ListParagraph"/>
        <w:numPr>
          <w:ilvl w:val="0"/>
          <w:numId w:val="1"/>
        </w:numPr>
        <w:tabs>
          <w:tab w:val="left" w:pos="453"/>
        </w:tabs>
        <w:spacing w:line="229" w:lineRule="exact"/>
        <w:ind w:left="0" w:right="260" w:firstLine="0"/>
        <w:rPr>
          <w:rFonts w:eastAsia="Arial" w:cstheme="minorHAnsi"/>
          <w:lang w:val="en-GB"/>
        </w:rPr>
      </w:pPr>
      <w:r w:rsidRPr="00626453">
        <w:rPr>
          <w:rFonts w:cstheme="minorHAnsi"/>
          <w:i/>
          <w:lang w:val="en-GB" w:bidi="en-GB"/>
        </w:rPr>
        <w:t>The duration of the track.</w:t>
      </w:r>
    </w:p>
    <w:p w14:paraId="7C352264" w14:textId="065D0F13" w:rsidR="005E6346" w:rsidRPr="00626453" w:rsidRDefault="005E6346" w:rsidP="005E6346">
      <w:pPr>
        <w:pStyle w:val="ListParagraph"/>
        <w:tabs>
          <w:tab w:val="left" w:pos="284"/>
        </w:tabs>
        <w:ind w:right="910"/>
        <w:rPr>
          <w:rFonts w:eastAsia="Arial" w:cstheme="minorHAnsi"/>
          <w:lang w:val="en-GB"/>
        </w:rPr>
      </w:pPr>
      <w:r w:rsidRPr="00626453">
        <w:rPr>
          <w:rFonts w:cstheme="minorHAnsi"/>
          <w:lang w:val="en-GB" w:bidi="en-GB"/>
        </w:rPr>
        <w:t>(In the case of maternity leave, part-time work, long-term absence, the loss of time is taken into account in the criteria established by the relevant committee.</w:t>
      </w:r>
    </w:p>
    <w:p w14:paraId="1D756106" w14:textId="7BA58209" w:rsidR="005E6346" w:rsidRPr="00626453" w:rsidRDefault="005E6346" w:rsidP="005E6346">
      <w:pPr>
        <w:pStyle w:val="ListParagraph"/>
        <w:tabs>
          <w:tab w:val="left" w:pos="284"/>
        </w:tabs>
        <w:ind w:right="910"/>
        <w:rPr>
          <w:rFonts w:cstheme="minorHAnsi"/>
          <w:lang w:val="en-GB"/>
        </w:rPr>
      </w:pPr>
      <w:r w:rsidRPr="00626453">
        <w:rPr>
          <w:rFonts w:cstheme="minorHAnsi"/>
          <w:lang w:val="en-GB" w:bidi="en-GB"/>
        </w:rPr>
        <w:t>The unit and the candidate can agree to a career track period with a nominal duration (regular duration of a career track) plus one year. The additional year serves as a buffer and is used in the case of pregnancy and/or other long-term absence).</w:t>
      </w:r>
    </w:p>
    <w:p w14:paraId="3B17DF0C" w14:textId="77777777" w:rsidR="005E6346" w:rsidRPr="00626453" w:rsidRDefault="005E6346" w:rsidP="005E6346">
      <w:pPr>
        <w:pStyle w:val="ListParagraph"/>
        <w:numPr>
          <w:ilvl w:val="0"/>
          <w:numId w:val="1"/>
        </w:numPr>
        <w:tabs>
          <w:tab w:val="left" w:pos="453"/>
        </w:tabs>
        <w:spacing w:line="229" w:lineRule="exact"/>
        <w:ind w:left="0" w:right="260" w:firstLine="0"/>
        <w:rPr>
          <w:rFonts w:eastAsia="Arial" w:cstheme="minorHAnsi"/>
          <w:lang w:val="en-GB"/>
        </w:rPr>
      </w:pPr>
      <w:r w:rsidRPr="00626453">
        <w:rPr>
          <w:rFonts w:cstheme="minorHAnsi"/>
          <w:i/>
          <w:lang w:val="en-GB" w:bidi="en-GB"/>
        </w:rPr>
        <w:t>The number of FTEs of the appointment.</w:t>
      </w:r>
    </w:p>
    <w:p w14:paraId="1DD4AE39" w14:textId="77777777" w:rsidR="005E6346" w:rsidRPr="00626453" w:rsidRDefault="005E6346" w:rsidP="005E6346">
      <w:pPr>
        <w:pStyle w:val="ListParagraph"/>
        <w:numPr>
          <w:ilvl w:val="0"/>
          <w:numId w:val="1"/>
        </w:numPr>
        <w:tabs>
          <w:tab w:val="left" w:pos="453"/>
        </w:tabs>
        <w:spacing w:line="229" w:lineRule="exact"/>
        <w:ind w:left="0" w:right="260" w:firstLine="0"/>
        <w:rPr>
          <w:rFonts w:eastAsia="Arial" w:cstheme="minorHAnsi"/>
          <w:lang w:val="en-GB"/>
        </w:rPr>
      </w:pPr>
      <w:r w:rsidRPr="00626453">
        <w:rPr>
          <w:rFonts w:cstheme="minorHAnsi"/>
          <w:i/>
          <w:lang w:val="en-GB" w:bidi="en-GB"/>
        </w:rPr>
        <w:t>The intended position to which they are promoted after meeting the criteria.</w:t>
      </w:r>
    </w:p>
    <w:p w14:paraId="032C728A" w14:textId="77777777" w:rsidR="005E6346" w:rsidRPr="00626453" w:rsidRDefault="005E6346" w:rsidP="005E6346">
      <w:pPr>
        <w:pStyle w:val="ListParagraph"/>
        <w:numPr>
          <w:ilvl w:val="0"/>
          <w:numId w:val="1"/>
        </w:numPr>
        <w:tabs>
          <w:tab w:val="left" w:pos="453"/>
        </w:tabs>
        <w:ind w:left="0" w:right="260" w:firstLine="0"/>
        <w:rPr>
          <w:rFonts w:eastAsia="Arial" w:cstheme="minorHAnsi"/>
          <w:lang w:val="en-GB"/>
        </w:rPr>
      </w:pPr>
      <w:r w:rsidRPr="00626453">
        <w:rPr>
          <w:rFonts w:cstheme="minorHAnsi"/>
          <w:i/>
          <w:lang w:val="en-GB" w:bidi="en-GB"/>
        </w:rPr>
        <w:t>The support provided (education, research, career support).</w:t>
      </w:r>
    </w:p>
    <w:p w14:paraId="5B32C397" w14:textId="77777777" w:rsidR="005E6346" w:rsidRPr="00626453" w:rsidRDefault="005E6346" w:rsidP="005E6346">
      <w:pPr>
        <w:pStyle w:val="ListParagraph"/>
        <w:numPr>
          <w:ilvl w:val="0"/>
          <w:numId w:val="1"/>
        </w:numPr>
        <w:tabs>
          <w:tab w:val="left" w:pos="453"/>
        </w:tabs>
        <w:ind w:left="0" w:right="260" w:firstLine="0"/>
        <w:rPr>
          <w:rFonts w:eastAsia="Arial" w:cstheme="minorHAnsi"/>
          <w:lang w:val="en-GB"/>
        </w:rPr>
      </w:pPr>
      <w:r w:rsidRPr="00626453">
        <w:rPr>
          <w:rFonts w:cstheme="minorHAnsi"/>
          <w:i/>
          <w:lang w:val="en-GB" w:bidi="en-GB"/>
        </w:rPr>
        <w:t>The track or consequences if performance criteria are not met.</w:t>
      </w:r>
    </w:p>
    <w:p w14:paraId="45865F2F" w14:textId="77777777" w:rsidR="005E6346" w:rsidRPr="00626453" w:rsidRDefault="005E6346" w:rsidP="005E6346">
      <w:pPr>
        <w:pStyle w:val="ListParagraph"/>
        <w:tabs>
          <w:tab w:val="left" w:pos="355"/>
        </w:tabs>
        <w:ind w:right="662"/>
        <w:rPr>
          <w:rFonts w:eastAsia="Arial" w:cstheme="minorHAnsi"/>
          <w:lang w:val="en-GB"/>
        </w:rPr>
      </w:pPr>
    </w:p>
    <w:p w14:paraId="4EFE6B0F" w14:textId="77777777" w:rsidR="005E6346" w:rsidRPr="00626453" w:rsidRDefault="005E6346" w:rsidP="005E6346">
      <w:pPr>
        <w:pStyle w:val="ListParagraph"/>
        <w:tabs>
          <w:tab w:val="left" w:pos="355"/>
        </w:tabs>
        <w:ind w:right="1031"/>
        <w:rPr>
          <w:rFonts w:eastAsia="Arial" w:cstheme="minorHAnsi"/>
          <w:b/>
          <w:lang w:val="en-GB"/>
        </w:rPr>
      </w:pPr>
      <w:r w:rsidRPr="00626453">
        <w:rPr>
          <w:rFonts w:cstheme="minorHAnsi"/>
          <w:b/>
          <w:i/>
          <w:lang w:val="en-GB" w:bidi="en-GB"/>
        </w:rPr>
        <w:t>Explanation of 1 to 6</w:t>
      </w:r>
    </w:p>
    <w:tbl>
      <w:tblPr>
        <w:tblStyle w:val="TableGrid"/>
        <w:tblW w:w="0" w:type="auto"/>
        <w:tblInd w:w="-5" w:type="dxa"/>
        <w:tblLook w:val="04A0" w:firstRow="1" w:lastRow="0" w:firstColumn="1" w:lastColumn="0" w:noHBand="0" w:noVBand="1"/>
      </w:tblPr>
      <w:tblGrid>
        <w:gridCol w:w="9067"/>
      </w:tblGrid>
      <w:tr w:rsidR="005E6346" w:rsidRPr="00626453" w14:paraId="7279A03B" w14:textId="77777777" w:rsidTr="006936BA">
        <w:tc>
          <w:tcPr>
            <w:tcW w:w="9067" w:type="dxa"/>
          </w:tcPr>
          <w:p w14:paraId="115E0840" w14:textId="77777777" w:rsidR="005E6346" w:rsidRPr="00626453" w:rsidRDefault="005E6346" w:rsidP="006936BA">
            <w:pPr>
              <w:tabs>
                <w:tab w:val="left" w:pos="355"/>
              </w:tabs>
              <w:ind w:right="516"/>
              <w:rPr>
                <w:rFonts w:eastAsia="Arial" w:cstheme="minorHAnsi"/>
                <w:b/>
                <w:lang w:val="en-GB"/>
              </w:rPr>
            </w:pPr>
          </w:p>
          <w:p w14:paraId="5F6F4502" w14:textId="77777777" w:rsidR="005E6346" w:rsidRPr="00626453" w:rsidRDefault="005E6346" w:rsidP="006936BA">
            <w:pPr>
              <w:tabs>
                <w:tab w:val="left" w:pos="355"/>
              </w:tabs>
              <w:ind w:right="516"/>
              <w:rPr>
                <w:rFonts w:eastAsia="Arial" w:cstheme="minorHAnsi"/>
                <w:b/>
                <w:lang w:val="en-GB"/>
              </w:rPr>
            </w:pPr>
          </w:p>
          <w:p w14:paraId="4AB73BB0" w14:textId="77777777" w:rsidR="005E6346" w:rsidRPr="00626453" w:rsidRDefault="005E6346" w:rsidP="006936BA">
            <w:pPr>
              <w:tabs>
                <w:tab w:val="left" w:pos="355"/>
              </w:tabs>
              <w:ind w:right="516"/>
              <w:rPr>
                <w:rFonts w:eastAsia="Arial" w:cstheme="minorHAnsi"/>
                <w:b/>
                <w:lang w:val="en-GB"/>
              </w:rPr>
            </w:pPr>
          </w:p>
        </w:tc>
      </w:tr>
    </w:tbl>
    <w:p w14:paraId="3F04FAB5" w14:textId="77777777" w:rsidR="005E6346" w:rsidRPr="00626453" w:rsidRDefault="005E6346" w:rsidP="005E6346">
      <w:pPr>
        <w:tabs>
          <w:tab w:val="left" w:pos="355"/>
        </w:tabs>
        <w:ind w:right="430"/>
        <w:rPr>
          <w:rFonts w:eastAsia="Arial" w:cstheme="minorHAnsi"/>
          <w:lang w:val="en-GB"/>
        </w:rPr>
      </w:pPr>
    </w:p>
    <w:p w14:paraId="3D12D496" w14:textId="177A9E6A" w:rsidR="005E6346" w:rsidRPr="00626453" w:rsidRDefault="005E6346" w:rsidP="005E6346">
      <w:pPr>
        <w:pStyle w:val="ListParagraph"/>
        <w:numPr>
          <w:ilvl w:val="0"/>
          <w:numId w:val="2"/>
        </w:numPr>
        <w:tabs>
          <w:tab w:val="left" w:pos="355"/>
        </w:tabs>
        <w:spacing w:line="229" w:lineRule="exact"/>
        <w:ind w:right="260"/>
        <w:rPr>
          <w:rFonts w:eastAsia="Arial" w:cstheme="minorHAnsi"/>
          <w:lang w:val="en-GB"/>
        </w:rPr>
      </w:pPr>
      <w:r w:rsidRPr="00626453">
        <w:rPr>
          <w:rFonts w:cstheme="minorHAnsi"/>
          <w:i/>
          <w:lang w:val="en-GB" w:bidi="en-GB"/>
        </w:rPr>
        <w:t>There is an interim review time, preferably halfway through the track.</w:t>
      </w:r>
    </w:p>
    <w:p w14:paraId="16724860" w14:textId="561C07D2" w:rsidR="005E6346" w:rsidRPr="00626453" w:rsidRDefault="005E6346" w:rsidP="005E6346">
      <w:pPr>
        <w:tabs>
          <w:tab w:val="left" w:pos="284"/>
        </w:tabs>
        <w:ind w:left="142" w:right="630"/>
        <w:rPr>
          <w:rFonts w:cstheme="minorHAnsi"/>
          <w:i/>
          <w:lang w:val="en-GB"/>
        </w:rPr>
      </w:pPr>
      <w:r w:rsidRPr="00626453">
        <w:rPr>
          <w:rFonts w:cstheme="minorHAnsi"/>
          <w:i/>
          <w:lang w:val="en-GB" w:bidi="en-GB"/>
        </w:rPr>
        <w:t>After a predetermined number of years (at least one year before the end of the track), a final assessment and a decision is made as to whether or not a promotion to the higher position will be granted on the basis of the criteria. If not, the final year of the career track focuses on providing good guidance for a career outside of Radboud University or a return to the original position.</w:t>
      </w:r>
      <w:r w:rsidRPr="00626453">
        <w:rPr>
          <w:rFonts w:cstheme="minorHAnsi"/>
          <w:i/>
          <w:lang w:val="en-GB" w:bidi="en-GB"/>
        </w:rPr>
        <w:br/>
      </w:r>
    </w:p>
    <w:p w14:paraId="394F4219" w14:textId="77777777" w:rsidR="005E6346" w:rsidRPr="00626453" w:rsidRDefault="005E6346" w:rsidP="005E6346">
      <w:pPr>
        <w:pStyle w:val="ListParagraph"/>
        <w:tabs>
          <w:tab w:val="left" w:pos="355"/>
        </w:tabs>
        <w:ind w:right="1031"/>
        <w:rPr>
          <w:rFonts w:eastAsia="Arial" w:cstheme="minorHAnsi"/>
          <w:b/>
          <w:lang w:val="en-GB"/>
        </w:rPr>
      </w:pPr>
      <w:r w:rsidRPr="00626453">
        <w:rPr>
          <w:rFonts w:cstheme="minorHAnsi"/>
          <w:b/>
          <w:i/>
          <w:lang w:val="en-GB" w:bidi="en-GB"/>
        </w:rPr>
        <w:t>Explanation</w:t>
      </w:r>
    </w:p>
    <w:tbl>
      <w:tblPr>
        <w:tblStyle w:val="TableGrid"/>
        <w:tblW w:w="0" w:type="auto"/>
        <w:tblInd w:w="-5" w:type="dxa"/>
        <w:tblLook w:val="04A0" w:firstRow="1" w:lastRow="0" w:firstColumn="1" w:lastColumn="0" w:noHBand="0" w:noVBand="1"/>
      </w:tblPr>
      <w:tblGrid>
        <w:gridCol w:w="9067"/>
      </w:tblGrid>
      <w:tr w:rsidR="005E6346" w:rsidRPr="00626453" w14:paraId="7FC67C9F" w14:textId="77777777" w:rsidTr="006936BA">
        <w:tc>
          <w:tcPr>
            <w:tcW w:w="9067" w:type="dxa"/>
          </w:tcPr>
          <w:p w14:paraId="30A78DE7" w14:textId="77777777" w:rsidR="005E6346" w:rsidRPr="00626453" w:rsidRDefault="005E6346" w:rsidP="006936BA">
            <w:pPr>
              <w:tabs>
                <w:tab w:val="left" w:pos="355"/>
              </w:tabs>
              <w:ind w:right="516"/>
              <w:rPr>
                <w:rFonts w:eastAsia="Arial" w:cstheme="minorHAnsi"/>
                <w:b/>
                <w:lang w:val="en-GB"/>
              </w:rPr>
            </w:pPr>
          </w:p>
          <w:p w14:paraId="26FBA213" w14:textId="77777777" w:rsidR="005E6346" w:rsidRPr="00626453" w:rsidRDefault="005E6346" w:rsidP="006936BA">
            <w:pPr>
              <w:tabs>
                <w:tab w:val="left" w:pos="355"/>
              </w:tabs>
              <w:ind w:right="516"/>
              <w:rPr>
                <w:rFonts w:eastAsia="Arial" w:cstheme="minorHAnsi"/>
                <w:b/>
                <w:lang w:val="en-GB"/>
              </w:rPr>
            </w:pPr>
          </w:p>
          <w:p w14:paraId="1E856D80" w14:textId="77777777" w:rsidR="005E6346" w:rsidRPr="00626453" w:rsidRDefault="005E6346" w:rsidP="006936BA">
            <w:pPr>
              <w:tabs>
                <w:tab w:val="left" w:pos="355"/>
              </w:tabs>
              <w:ind w:right="516"/>
              <w:rPr>
                <w:rFonts w:eastAsia="Arial" w:cstheme="minorHAnsi"/>
                <w:b/>
                <w:lang w:val="en-GB"/>
              </w:rPr>
            </w:pPr>
          </w:p>
        </w:tc>
      </w:tr>
    </w:tbl>
    <w:p w14:paraId="7CA7D7A5" w14:textId="77777777" w:rsidR="005E6346" w:rsidRPr="00626453" w:rsidRDefault="005E6346" w:rsidP="005E6346">
      <w:pPr>
        <w:tabs>
          <w:tab w:val="left" w:pos="355"/>
        </w:tabs>
        <w:ind w:right="910"/>
        <w:rPr>
          <w:rFonts w:eastAsia="Arial" w:cstheme="minorHAnsi"/>
          <w:lang w:val="en-GB"/>
        </w:rPr>
      </w:pPr>
    </w:p>
    <w:p w14:paraId="4E08C6C2" w14:textId="77777777" w:rsidR="005E6346" w:rsidRPr="00626453" w:rsidRDefault="005E6346" w:rsidP="005E6346">
      <w:pPr>
        <w:pStyle w:val="ListParagraph"/>
        <w:numPr>
          <w:ilvl w:val="0"/>
          <w:numId w:val="2"/>
        </w:numPr>
        <w:ind w:right="72"/>
        <w:rPr>
          <w:rFonts w:eastAsia="Arial" w:cstheme="minorHAnsi"/>
          <w:lang w:val="en-GB"/>
        </w:rPr>
      </w:pPr>
      <w:r w:rsidRPr="00626453">
        <w:rPr>
          <w:rFonts w:cstheme="minorHAnsi"/>
          <w:i/>
          <w:lang w:val="en-GB" w:bidi="en-GB"/>
        </w:rPr>
        <w:t>The assessment of the performance criteria is carried out by a faculty appraisal committee.</w:t>
      </w:r>
    </w:p>
    <w:p w14:paraId="41BDD705" w14:textId="77777777" w:rsidR="005E6346" w:rsidRPr="00626453" w:rsidRDefault="005E6346" w:rsidP="005E6346">
      <w:pPr>
        <w:widowControl/>
        <w:spacing w:after="160" w:line="259" w:lineRule="auto"/>
        <w:rPr>
          <w:rFonts w:cstheme="minorHAnsi"/>
          <w:i/>
          <w:lang w:val="en-GB"/>
        </w:rPr>
      </w:pPr>
      <w:r w:rsidRPr="00626453">
        <w:rPr>
          <w:rFonts w:cstheme="minorHAnsi"/>
          <w:i/>
          <w:lang w:val="en-GB" w:bidi="en-GB"/>
        </w:rPr>
        <w:br w:type="page"/>
      </w:r>
    </w:p>
    <w:p w14:paraId="2AEEACCA" w14:textId="77777777" w:rsidR="005E6346" w:rsidRPr="00626453" w:rsidRDefault="005E6346" w:rsidP="005E6346">
      <w:pPr>
        <w:pStyle w:val="ListParagraph"/>
        <w:tabs>
          <w:tab w:val="left" w:pos="355"/>
        </w:tabs>
        <w:ind w:right="1031"/>
        <w:rPr>
          <w:rFonts w:eastAsia="Arial" w:cstheme="minorHAnsi"/>
          <w:b/>
          <w:lang w:val="en-GB"/>
        </w:rPr>
      </w:pPr>
      <w:r w:rsidRPr="00626453">
        <w:rPr>
          <w:rFonts w:cstheme="minorHAnsi"/>
          <w:b/>
          <w:i/>
          <w:lang w:val="en-GB" w:bidi="en-GB"/>
        </w:rPr>
        <w:lastRenderedPageBreak/>
        <w:t>Explanation</w:t>
      </w:r>
    </w:p>
    <w:tbl>
      <w:tblPr>
        <w:tblStyle w:val="TableGrid"/>
        <w:tblW w:w="0" w:type="auto"/>
        <w:tblInd w:w="-5" w:type="dxa"/>
        <w:tblLook w:val="04A0" w:firstRow="1" w:lastRow="0" w:firstColumn="1" w:lastColumn="0" w:noHBand="0" w:noVBand="1"/>
      </w:tblPr>
      <w:tblGrid>
        <w:gridCol w:w="9067"/>
      </w:tblGrid>
      <w:tr w:rsidR="005E6346" w:rsidRPr="00626453" w14:paraId="28ED0E1C" w14:textId="77777777" w:rsidTr="006936BA">
        <w:tc>
          <w:tcPr>
            <w:tcW w:w="9067" w:type="dxa"/>
          </w:tcPr>
          <w:p w14:paraId="21679049" w14:textId="77777777" w:rsidR="005E6346" w:rsidRPr="00626453" w:rsidRDefault="005E6346" w:rsidP="006936BA">
            <w:pPr>
              <w:tabs>
                <w:tab w:val="left" w:pos="355"/>
              </w:tabs>
              <w:ind w:right="516"/>
              <w:rPr>
                <w:rFonts w:eastAsia="Arial" w:cstheme="minorHAnsi"/>
                <w:b/>
                <w:lang w:val="en-GB"/>
              </w:rPr>
            </w:pPr>
          </w:p>
          <w:p w14:paraId="1D16FE43" w14:textId="77777777" w:rsidR="005E6346" w:rsidRPr="00626453" w:rsidRDefault="005E6346" w:rsidP="006936BA">
            <w:pPr>
              <w:tabs>
                <w:tab w:val="left" w:pos="355"/>
              </w:tabs>
              <w:ind w:right="516"/>
              <w:rPr>
                <w:rFonts w:eastAsia="Arial" w:cstheme="minorHAnsi"/>
                <w:b/>
                <w:lang w:val="en-GB"/>
              </w:rPr>
            </w:pPr>
          </w:p>
          <w:p w14:paraId="16251D98" w14:textId="77777777" w:rsidR="005E6346" w:rsidRPr="00626453" w:rsidRDefault="005E6346" w:rsidP="006936BA">
            <w:pPr>
              <w:tabs>
                <w:tab w:val="left" w:pos="355"/>
              </w:tabs>
              <w:ind w:right="516"/>
              <w:rPr>
                <w:rFonts w:eastAsia="Arial" w:cstheme="minorHAnsi"/>
                <w:b/>
                <w:lang w:val="en-GB"/>
              </w:rPr>
            </w:pPr>
          </w:p>
        </w:tc>
      </w:tr>
    </w:tbl>
    <w:p w14:paraId="2943235C" w14:textId="77777777" w:rsidR="005E6346" w:rsidRPr="00626453" w:rsidRDefault="005E6346" w:rsidP="005E6346">
      <w:pPr>
        <w:tabs>
          <w:tab w:val="left" w:pos="355"/>
        </w:tabs>
        <w:ind w:right="910"/>
        <w:rPr>
          <w:rFonts w:eastAsia="Arial" w:cstheme="minorHAnsi"/>
          <w:lang w:val="en-GB"/>
        </w:rPr>
      </w:pPr>
    </w:p>
    <w:p w14:paraId="0FB05C70" w14:textId="77777777" w:rsidR="005E6346" w:rsidRPr="00626453" w:rsidRDefault="005E6346" w:rsidP="005E6346">
      <w:pPr>
        <w:tabs>
          <w:tab w:val="left" w:pos="284"/>
        </w:tabs>
        <w:rPr>
          <w:rFonts w:cstheme="minorHAnsi"/>
          <w:i/>
          <w:w w:val="99"/>
          <w:lang w:val="en-GB"/>
        </w:rPr>
      </w:pPr>
    </w:p>
    <w:p w14:paraId="7BD6EA42" w14:textId="77777777" w:rsidR="005E6346" w:rsidRPr="00626453" w:rsidRDefault="005E6346" w:rsidP="005E6346">
      <w:pPr>
        <w:tabs>
          <w:tab w:val="left" w:pos="284"/>
        </w:tabs>
        <w:rPr>
          <w:rFonts w:eastAsia="Arial" w:cstheme="minorHAnsi"/>
          <w:b/>
          <w:lang w:val="en-GB"/>
        </w:rPr>
      </w:pPr>
      <w:r w:rsidRPr="00626453">
        <w:rPr>
          <w:rFonts w:cstheme="minorHAnsi"/>
          <w:b/>
          <w:w w:val="99"/>
          <w:lang w:val="en-GB" w:bidi="en-GB"/>
        </w:rPr>
        <w:t>Eligible costs</w:t>
      </w:r>
    </w:p>
    <w:p w14:paraId="7EE5E14E" w14:textId="77777777" w:rsidR="005E6346" w:rsidRPr="00626453" w:rsidRDefault="005E6346" w:rsidP="005E6346">
      <w:pPr>
        <w:numPr>
          <w:ilvl w:val="0"/>
          <w:numId w:val="2"/>
        </w:numPr>
        <w:tabs>
          <w:tab w:val="left" w:pos="0"/>
          <w:tab w:val="left" w:pos="238"/>
          <w:tab w:val="left" w:pos="284"/>
        </w:tabs>
        <w:rPr>
          <w:rFonts w:eastAsia="Arial" w:cstheme="minorHAnsi"/>
          <w:w w:val="99"/>
          <w:lang w:val="en-GB"/>
        </w:rPr>
      </w:pPr>
      <w:r w:rsidRPr="00626453">
        <w:rPr>
          <w:rFonts w:eastAsia="Arial" w:cstheme="minorHAnsi"/>
          <w:w w:val="99"/>
          <w:lang w:val="en-GB" w:bidi="en-GB"/>
        </w:rPr>
        <w:t>The Executive Board finances an amount of €60,000 per fellowship.</w:t>
      </w:r>
    </w:p>
    <w:p w14:paraId="54016CF0" w14:textId="77777777" w:rsidR="005E6346" w:rsidRPr="00626453" w:rsidRDefault="005E6346" w:rsidP="005E6346">
      <w:pPr>
        <w:numPr>
          <w:ilvl w:val="0"/>
          <w:numId w:val="2"/>
        </w:numPr>
        <w:tabs>
          <w:tab w:val="left" w:pos="0"/>
          <w:tab w:val="left" w:pos="238"/>
          <w:tab w:val="left" w:pos="284"/>
        </w:tabs>
        <w:rPr>
          <w:rFonts w:eastAsia="Arial" w:cstheme="minorHAnsi"/>
          <w:w w:val="99"/>
          <w:lang w:val="en-GB"/>
        </w:rPr>
      </w:pPr>
      <w:r w:rsidRPr="00626453">
        <w:rPr>
          <w:rFonts w:eastAsia="Arial" w:cstheme="minorHAnsi"/>
          <w:w w:val="99"/>
          <w:lang w:val="en-GB" w:bidi="en-GB"/>
        </w:rPr>
        <w:t>This amount is based on a full-time employment and the amount is adjusted in proportion to the scope of the appointment.</w:t>
      </w:r>
    </w:p>
    <w:p w14:paraId="55BD19EA" w14:textId="77777777" w:rsidR="005E6346" w:rsidRPr="00626453" w:rsidRDefault="005E6346" w:rsidP="005E6346">
      <w:pPr>
        <w:numPr>
          <w:ilvl w:val="0"/>
          <w:numId w:val="2"/>
        </w:numPr>
        <w:tabs>
          <w:tab w:val="left" w:pos="0"/>
          <w:tab w:val="left" w:pos="238"/>
          <w:tab w:val="left" w:pos="284"/>
        </w:tabs>
        <w:rPr>
          <w:rFonts w:eastAsia="Arial" w:cstheme="minorHAnsi"/>
          <w:w w:val="99"/>
          <w:lang w:val="en-GB"/>
        </w:rPr>
      </w:pPr>
      <w:r w:rsidRPr="00626453">
        <w:rPr>
          <w:rFonts w:eastAsia="Arial" w:cstheme="minorHAnsi"/>
          <w:w w:val="99"/>
          <w:lang w:val="en-GB" w:bidi="en-GB"/>
        </w:rPr>
        <w:t>The resources can be used by the unit for the candidate's salary costs or for costs associated with the fellowship (such as a research budget or a supporting PhD candidate).</w:t>
      </w:r>
    </w:p>
    <w:p w14:paraId="529800F8" w14:textId="77777777" w:rsidR="005E6346" w:rsidRPr="00626453" w:rsidRDefault="005E6346" w:rsidP="005E6346">
      <w:pPr>
        <w:tabs>
          <w:tab w:val="left" w:pos="355"/>
        </w:tabs>
        <w:ind w:right="630"/>
        <w:rPr>
          <w:rFonts w:eastAsia="Arial" w:cstheme="minorHAnsi"/>
          <w:lang w:val="en-GB"/>
        </w:rPr>
      </w:pPr>
    </w:p>
    <w:p w14:paraId="2C6A1791" w14:textId="77777777" w:rsidR="005E6346" w:rsidRPr="00626453" w:rsidRDefault="005E6346" w:rsidP="005E6346">
      <w:pPr>
        <w:pStyle w:val="ListParagraph"/>
        <w:tabs>
          <w:tab w:val="left" w:pos="284"/>
        </w:tabs>
        <w:ind w:right="910"/>
        <w:rPr>
          <w:rFonts w:eastAsia="Arial" w:cstheme="minorHAnsi"/>
          <w:lang w:val="en-GB"/>
        </w:rPr>
      </w:pPr>
    </w:p>
    <w:p w14:paraId="7D16D79C" w14:textId="77777777" w:rsidR="005E6346" w:rsidRPr="00626453" w:rsidRDefault="005E6346" w:rsidP="005E6346">
      <w:pPr>
        <w:pStyle w:val="ListParagraph"/>
        <w:tabs>
          <w:tab w:val="left" w:pos="284"/>
        </w:tabs>
        <w:ind w:right="910"/>
        <w:rPr>
          <w:rFonts w:eastAsia="Arial" w:cstheme="minorHAnsi"/>
          <w:lang w:val="en-GB"/>
        </w:rPr>
      </w:pPr>
    </w:p>
    <w:p w14:paraId="705A75E1" w14:textId="77777777" w:rsidR="005E6346" w:rsidRPr="00626453" w:rsidRDefault="005E6346" w:rsidP="005E6346">
      <w:pPr>
        <w:pStyle w:val="BodyText"/>
        <w:ind w:left="0" w:right="260"/>
        <w:rPr>
          <w:rFonts w:asciiTheme="minorHAnsi" w:hAnsiTheme="minorHAnsi" w:cstheme="minorHAnsi"/>
          <w:i w:val="0"/>
          <w:sz w:val="22"/>
          <w:szCs w:val="22"/>
          <w:lang w:val="en-GB"/>
        </w:rPr>
      </w:pPr>
      <w:r w:rsidRPr="00626453">
        <w:rPr>
          <w:rFonts w:asciiTheme="minorHAnsi" w:hAnsiTheme="minorHAnsi" w:cstheme="minorHAnsi"/>
          <w:i w:val="0"/>
          <w:sz w:val="22"/>
          <w:szCs w:val="22"/>
          <w:lang w:val="en-GB" w:bidi="en-GB"/>
        </w:rPr>
        <w:t xml:space="preserve">Send this application, together with the candidate's CV, to </w:t>
      </w:r>
    </w:p>
    <w:p w14:paraId="59691C77" w14:textId="77777777" w:rsidR="005E6346" w:rsidRPr="00626453" w:rsidRDefault="005E6346" w:rsidP="005E6346">
      <w:pPr>
        <w:pStyle w:val="BodyText"/>
        <w:ind w:left="0" w:right="260"/>
        <w:rPr>
          <w:rFonts w:asciiTheme="minorHAnsi" w:hAnsiTheme="minorHAnsi" w:cstheme="minorHAnsi"/>
          <w:i w:val="0"/>
          <w:sz w:val="22"/>
          <w:szCs w:val="22"/>
          <w:lang w:val="en-GB"/>
        </w:rPr>
      </w:pPr>
      <w:r w:rsidRPr="00626453">
        <w:rPr>
          <w:rFonts w:asciiTheme="minorHAnsi" w:hAnsiTheme="minorHAnsi" w:cstheme="minorHAnsi"/>
          <w:i w:val="0"/>
          <w:sz w:val="22"/>
          <w:szCs w:val="22"/>
          <w:lang w:val="en-GB" w:bidi="en-GB"/>
        </w:rPr>
        <w:t>Harriët Reker, secretary of the Mohrmann Committee: H.Reker@dpo.ru.nl</w:t>
      </w:r>
    </w:p>
    <w:p w14:paraId="3075F871" w14:textId="77777777" w:rsidR="0054189C" w:rsidRPr="00626453" w:rsidRDefault="0054189C">
      <w:pPr>
        <w:rPr>
          <w:lang w:val="en-GB"/>
        </w:rPr>
      </w:pPr>
    </w:p>
    <w:sectPr w:rsidR="0054189C" w:rsidRPr="00626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A5EEF"/>
    <w:multiLevelType w:val="hybridMultilevel"/>
    <w:tmpl w:val="6C9AB21C"/>
    <w:lvl w:ilvl="0" w:tplc="15420198">
      <w:start w:val="1"/>
      <w:numFmt w:val="bullet"/>
      <w:lvlText w:val="-"/>
      <w:lvlJc w:val="left"/>
      <w:pPr>
        <w:ind w:left="115" w:hanging="123"/>
      </w:pPr>
      <w:rPr>
        <w:rFonts w:ascii="Arial" w:eastAsia="Arial" w:hAnsi="Arial" w:hint="default"/>
        <w:i/>
        <w:w w:val="99"/>
        <w:sz w:val="20"/>
        <w:szCs w:val="20"/>
      </w:rPr>
    </w:lvl>
    <w:lvl w:ilvl="1" w:tplc="2CEE30AE">
      <w:start w:val="1"/>
      <w:numFmt w:val="bullet"/>
      <w:lvlText w:val="•"/>
      <w:lvlJc w:val="left"/>
      <w:pPr>
        <w:ind w:left="1015" w:hanging="123"/>
      </w:pPr>
      <w:rPr>
        <w:rFonts w:hint="default"/>
      </w:rPr>
    </w:lvl>
    <w:lvl w:ilvl="2" w:tplc="0DC45B74">
      <w:start w:val="1"/>
      <w:numFmt w:val="bullet"/>
      <w:lvlText w:val="•"/>
      <w:lvlJc w:val="left"/>
      <w:pPr>
        <w:ind w:left="1910" w:hanging="123"/>
      </w:pPr>
      <w:rPr>
        <w:rFonts w:hint="default"/>
      </w:rPr>
    </w:lvl>
    <w:lvl w:ilvl="3" w:tplc="01F8F490">
      <w:start w:val="1"/>
      <w:numFmt w:val="bullet"/>
      <w:lvlText w:val="•"/>
      <w:lvlJc w:val="left"/>
      <w:pPr>
        <w:ind w:left="2806" w:hanging="123"/>
      </w:pPr>
      <w:rPr>
        <w:rFonts w:hint="default"/>
      </w:rPr>
    </w:lvl>
    <w:lvl w:ilvl="4" w:tplc="BBCADD0C">
      <w:start w:val="1"/>
      <w:numFmt w:val="bullet"/>
      <w:lvlText w:val="•"/>
      <w:lvlJc w:val="left"/>
      <w:pPr>
        <w:ind w:left="3701" w:hanging="123"/>
      </w:pPr>
      <w:rPr>
        <w:rFonts w:hint="default"/>
      </w:rPr>
    </w:lvl>
    <w:lvl w:ilvl="5" w:tplc="A7608156">
      <w:start w:val="1"/>
      <w:numFmt w:val="bullet"/>
      <w:lvlText w:val="•"/>
      <w:lvlJc w:val="left"/>
      <w:pPr>
        <w:ind w:left="4596" w:hanging="123"/>
      </w:pPr>
      <w:rPr>
        <w:rFonts w:hint="default"/>
      </w:rPr>
    </w:lvl>
    <w:lvl w:ilvl="6" w:tplc="319EC872">
      <w:start w:val="1"/>
      <w:numFmt w:val="bullet"/>
      <w:lvlText w:val="•"/>
      <w:lvlJc w:val="left"/>
      <w:pPr>
        <w:ind w:left="5492" w:hanging="123"/>
      </w:pPr>
      <w:rPr>
        <w:rFonts w:hint="default"/>
      </w:rPr>
    </w:lvl>
    <w:lvl w:ilvl="7" w:tplc="6C2AE1A6">
      <w:start w:val="1"/>
      <w:numFmt w:val="bullet"/>
      <w:lvlText w:val="•"/>
      <w:lvlJc w:val="left"/>
      <w:pPr>
        <w:ind w:left="6387" w:hanging="123"/>
      </w:pPr>
      <w:rPr>
        <w:rFonts w:hint="default"/>
      </w:rPr>
    </w:lvl>
    <w:lvl w:ilvl="8" w:tplc="502062F6">
      <w:start w:val="1"/>
      <w:numFmt w:val="bullet"/>
      <w:lvlText w:val="•"/>
      <w:lvlJc w:val="left"/>
      <w:pPr>
        <w:ind w:left="7283" w:hanging="123"/>
      </w:pPr>
      <w:rPr>
        <w:rFonts w:hint="default"/>
      </w:rPr>
    </w:lvl>
  </w:abstractNum>
  <w:abstractNum w:abstractNumId="1" w15:restartNumberingAfterBreak="0">
    <w:nsid w:val="677B1795"/>
    <w:multiLevelType w:val="hybridMultilevel"/>
    <w:tmpl w:val="58E832A8"/>
    <w:lvl w:ilvl="0" w:tplc="BCE2A542">
      <w:start w:val="1"/>
      <w:numFmt w:val="decimal"/>
      <w:lvlText w:val="%1."/>
      <w:lvlJc w:val="left"/>
      <w:pPr>
        <w:ind w:left="452" w:hanging="221"/>
      </w:pPr>
      <w:rPr>
        <w:rFonts w:ascii="Arial" w:eastAsia="Arial" w:hAnsi="Arial" w:hint="default"/>
        <w:i/>
        <w:w w:val="99"/>
        <w:sz w:val="20"/>
        <w:szCs w:val="20"/>
      </w:rPr>
    </w:lvl>
    <w:lvl w:ilvl="1" w:tplc="59CA01F0">
      <w:start w:val="1"/>
      <w:numFmt w:val="bullet"/>
      <w:lvlText w:val="•"/>
      <w:lvlJc w:val="left"/>
      <w:pPr>
        <w:ind w:left="1344" w:hanging="221"/>
      </w:pPr>
      <w:rPr>
        <w:rFonts w:hint="default"/>
      </w:rPr>
    </w:lvl>
    <w:lvl w:ilvl="2" w:tplc="91C4B6DA">
      <w:start w:val="1"/>
      <w:numFmt w:val="bullet"/>
      <w:lvlText w:val="•"/>
      <w:lvlJc w:val="left"/>
      <w:pPr>
        <w:ind w:left="2229" w:hanging="221"/>
      </w:pPr>
      <w:rPr>
        <w:rFonts w:hint="default"/>
      </w:rPr>
    </w:lvl>
    <w:lvl w:ilvl="3" w:tplc="49361D44">
      <w:start w:val="1"/>
      <w:numFmt w:val="bullet"/>
      <w:lvlText w:val="•"/>
      <w:lvlJc w:val="left"/>
      <w:pPr>
        <w:ind w:left="3113" w:hanging="221"/>
      </w:pPr>
      <w:rPr>
        <w:rFonts w:hint="default"/>
      </w:rPr>
    </w:lvl>
    <w:lvl w:ilvl="4" w:tplc="2324795A">
      <w:start w:val="1"/>
      <w:numFmt w:val="bullet"/>
      <w:lvlText w:val="•"/>
      <w:lvlJc w:val="left"/>
      <w:pPr>
        <w:ind w:left="3998" w:hanging="221"/>
      </w:pPr>
      <w:rPr>
        <w:rFonts w:hint="default"/>
      </w:rPr>
    </w:lvl>
    <w:lvl w:ilvl="5" w:tplc="0EB464BE">
      <w:start w:val="1"/>
      <w:numFmt w:val="bullet"/>
      <w:lvlText w:val="•"/>
      <w:lvlJc w:val="left"/>
      <w:pPr>
        <w:ind w:left="4883" w:hanging="221"/>
      </w:pPr>
      <w:rPr>
        <w:rFonts w:hint="default"/>
      </w:rPr>
    </w:lvl>
    <w:lvl w:ilvl="6" w:tplc="4DE25612">
      <w:start w:val="1"/>
      <w:numFmt w:val="bullet"/>
      <w:lvlText w:val="•"/>
      <w:lvlJc w:val="left"/>
      <w:pPr>
        <w:ind w:left="5767" w:hanging="221"/>
      </w:pPr>
      <w:rPr>
        <w:rFonts w:hint="default"/>
      </w:rPr>
    </w:lvl>
    <w:lvl w:ilvl="7" w:tplc="50CADC84">
      <w:start w:val="1"/>
      <w:numFmt w:val="bullet"/>
      <w:lvlText w:val="•"/>
      <w:lvlJc w:val="left"/>
      <w:pPr>
        <w:ind w:left="6652" w:hanging="221"/>
      </w:pPr>
      <w:rPr>
        <w:rFonts w:hint="default"/>
      </w:rPr>
    </w:lvl>
    <w:lvl w:ilvl="8" w:tplc="57024ECE">
      <w:start w:val="1"/>
      <w:numFmt w:val="bullet"/>
      <w:lvlText w:val="•"/>
      <w:lvlJc w:val="left"/>
      <w:pPr>
        <w:ind w:left="7537" w:hanging="221"/>
      </w:pPr>
      <w:rPr>
        <w:rFonts w:hint="default"/>
      </w:rPr>
    </w:lvl>
  </w:abstractNum>
  <w:num w:numId="1" w16cid:durableId="122384341">
    <w:abstractNumId w:val="1"/>
  </w:num>
  <w:num w:numId="2" w16cid:durableId="183969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46"/>
    <w:rsid w:val="001D2502"/>
    <w:rsid w:val="00265692"/>
    <w:rsid w:val="00330860"/>
    <w:rsid w:val="00363A53"/>
    <w:rsid w:val="004C478F"/>
    <w:rsid w:val="0054189C"/>
    <w:rsid w:val="005E6346"/>
    <w:rsid w:val="00626453"/>
    <w:rsid w:val="00AA14A0"/>
    <w:rsid w:val="00B347EB"/>
    <w:rsid w:val="00FC33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D038"/>
  <w15:chartTrackingRefBased/>
  <w15:docId w15:val="{27B17B14-76C4-4CC0-983E-EC8C495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634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E6346"/>
    <w:pPr>
      <w:ind w:left="231"/>
    </w:pPr>
    <w:rPr>
      <w:rFonts w:ascii="Arial" w:eastAsia="Arial" w:hAnsi="Arial"/>
      <w:i/>
      <w:sz w:val="20"/>
      <w:szCs w:val="20"/>
    </w:rPr>
  </w:style>
  <w:style w:type="character" w:customStyle="1" w:styleId="BodyTextChar">
    <w:name w:val="Body Text Char"/>
    <w:basedOn w:val="DefaultParagraphFont"/>
    <w:link w:val="BodyText"/>
    <w:uiPriority w:val="1"/>
    <w:rsid w:val="005E6346"/>
    <w:rPr>
      <w:rFonts w:ascii="Arial" w:eastAsia="Arial" w:hAnsi="Arial"/>
      <w:i/>
      <w:sz w:val="20"/>
      <w:szCs w:val="20"/>
      <w:lang w:val="en-US"/>
    </w:rPr>
  </w:style>
  <w:style w:type="paragraph" w:styleId="ListParagraph">
    <w:name w:val="List Paragraph"/>
    <w:basedOn w:val="Normal"/>
    <w:uiPriority w:val="1"/>
    <w:qFormat/>
    <w:rsid w:val="005E6346"/>
  </w:style>
  <w:style w:type="table" w:styleId="TableGrid">
    <w:name w:val="Table Grid"/>
    <w:basedOn w:val="TableNormal"/>
    <w:uiPriority w:val="39"/>
    <w:rsid w:val="005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2111</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Radboud Universiteit Nijmegen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Reker, H.J.L. (Harriët)</dc:creator>
  <cp:keywords/>
  <dc:description/>
  <cp:lastModifiedBy>Bierhaalder Valk, L. (Lisa)</cp:lastModifiedBy>
  <cp:revision>2</cp:revision>
  <dcterms:created xsi:type="dcterms:W3CDTF">2023-12-07T14:51:00Z</dcterms:created>
  <dcterms:modified xsi:type="dcterms:W3CDTF">2023-12-07T14:51:00Z</dcterms:modified>
</cp:coreProperties>
</file>