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037B" w14:textId="09B8CB9F" w:rsidR="00790F2F" w:rsidRPr="00687D4E" w:rsidRDefault="00790F2F" w:rsidP="00790F2F">
      <w:pPr>
        <w:pStyle w:val="BodyText"/>
        <w:ind w:left="0" w:right="260"/>
        <w:rPr>
          <w:rFonts w:asciiTheme="minorHAnsi" w:hAnsiTheme="minorHAnsi" w:cstheme="minorHAnsi"/>
          <w:b/>
          <w:sz w:val="24"/>
          <w:szCs w:val="24"/>
        </w:rPr>
      </w:pPr>
      <w:r w:rsidRPr="003A77D6">
        <w:rPr>
          <w:rFonts w:asciiTheme="minorHAnsi" w:hAnsiTheme="minorHAnsi" w:cstheme="minorHAnsi"/>
          <w:b/>
          <w:sz w:val="24"/>
          <w:szCs w:val="24"/>
          <w:lang w:val="en-GB" w:bidi="en-GB"/>
        </w:rPr>
        <w:t>Application Form for the Mohrmann Fund</w:t>
      </w:r>
    </w:p>
    <w:p w14:paraId="0E8D51F7" w14:textId="77777777" w:rsidR="00790F2F" w:rsidRPr="00687D4E" w:rsidRDefault="00790F2F" w:rsidP="00790F2F">
      <w:pPr>
        <w:pStyle w:val="BodyText"/>
        <w:ind w:left="0" w:right="260"/>
        <w:rPr>
          <w:rFonts w:cstheme="minorHAnsi"/>
          <w:b/>
        </w:rPr>
      </w:pPr>
    </w:p>
    <w:p w14:paraId="5E8E20C2" w14:textId="15755DC3" w:rsidR="00790F2F" w:rsidRPr="00687D4E" w:rsidRDefault="00790F2F" w:rsidP="00790F2F">
      <w:pPr>
        <w:pStyle w:val="BodyText"/>
        <w:ind w:left="0" w:right="260"/>
        <w:rPr>
          <w:rFonts w:cstheme="minorHAnsi"/>
          <w:b/>
        </w:rPr>
      </w:pPr>
      <w:r>
        <w:rPr>
          <w:rFonts w:cstheme="minorHAnsi"/>
          <w:b/>
          <w:lang w:val="en-GB" w:bidi="en-GB"/>
        </w:rPr>
        <w:t>Form B:</w:t>
      </w:r>
      <w:r w:rsidRPr="0019095E">
        <w:rPr>
          <w:rFonts w:asciiTheme="minorHAnsi" w:hAnsiTheme="minorHAnsi" w:cstheme="minorHAnsi"/>
          <w:b/>
          <w:sz w:val="22"/>
          <w:szCs w:val="22"/>
          <w:lang w:val="en-GB" w:bidi="en-GB"/>
        </w:rPr>
        <w:t>application for a</w:t>
      </w:r>
      <w:r w:rsidR="0073394E">
        <w:rPr>
          <w:rFonts w:asciiTheme="minorHAnsi" w:hAnsiTheme="minorHAnsi" w:cstheme="minorHAnsi"/>
          <w:b/>
          <w:sz w:val="22"/>
          <w:szCs w:val="22"/>
          <w:lang w:val="en-GB" w:bidi="en-GB"/>
        </w:rPr>
        <w:t xml:space="preserve"> female</w:t>
      </w:r>
      <w:r w:rsidRPr="0019095E">
        <w:rPr>
          <w:rFonts w:asciiTheme="minorHAnsi" w:hAnsiTheme="minorHAnsi" w:cstheme="minorHAnsi"/>
          <w:b/>
          <w:sz w:val="22"/>
          <w:szCs w:val="22"/>
          <w:lang w:val="en-GB" w:bidi="en-GB"/>
        </w:rPr>
        <w:t xml:space="preserve"> associate professor</w:t>
      </w:r>
    </w:p>
    <w:p w14:paraId="0D8B9CE1" w14:textId="77777777" w:rsidR="00790F2F" w:rsidRPr="00687D4E" w:rsidRDefault="00790F2F" w:rsidP="00790F2F">
      <w:pPr>
        <w:pStyle w:val="BodyText"/>
        <w:ind w:left="0" w:right="260"/>
        <w:rPr>
          <w:rFonts w:cstheme="minorHAnsi"/>
          <w:b/>
        </w:rPr>
      </w:pPr>
    </w:p>
    <w:p w14:paraId="400E1484" w14:textId="521C97DD" w:rsidR="00790F2F" w:rsidRPr="00687D4E" w:rsidRDefault="00790F2F" w:rsidP="00790F2F">
      <w:pPr>
        <w:pStyle w:val="BodyText"/>
        <w:ind w:left="0" w:right="260"/>
        <w:rPr>
          <w:rFonts w:asciiTheme="minorHAnsi" w:hAnsiTheme="minorHAnsi" w:cstheme="minorHAnsi"/>
          <w:b/>
          <w:sz w:val="22"/>
          <w:szCs w:val="22"/>
        </w:rPr>
      </w:pPr>
      <w:r w:rsidRPr="00A414DF">
        <w:rPr>
          <w:rFonts w:asciiTheme="minorHAnsi" w:hAnsiTheme="minorHAnsi" w:cstheme="minorHAnsi"/>
          <w:b/>
          <w:sz w:val="22"/>
          <w:szCs w:val="22"/>
          <w:lang w:val="en-GB" w:bidi="en-GB"/>
        </w:rPr>
        <w:t xml:space="preserve">Purpose of the Mohrmann Fund with Regard to the Appointment of a </w:t>
      </w:r>
      <w:r w:rsidR="0073394E">
        <w:rPr>
          <w:rFonts w:asciiTheme="minorHAnsi" w:hAnsiTheme="minorHAnsi" w:cstheme="minorHAnsi"/>
          <w:b/>
          <w:sz w:val="22"/>
          <w:szCs w:val="22"/>
          <w:lang w:val="en-GB" w:bidi="en-GB"/>
        </w:rPr>
        <w:t>Female</w:t>
      </w:r>
      <w:r w:rsidRPr="00A414DF">
        <w:rPr>
          <w:rFonts w:asciiTheme="minorHAnsi" w:hAnsiTheme="minorHAnsi" w:cstheme="minorHAnsi"/>
          <w:b/>
          <w:sz w:val="22"/>
          <w:szCs w:val="22"/>
          <w:lang w:val="en-GB" w:bidi="en-GB"/>
        </w:rPr>
        <w:t xml:space="preserve"> Associate Professor</w:t>
      </w:r>
    </w:p>
    <w:p w14:paraId="7735EF4E" w14:textId="64561D00" w:rsidR="00790F2F" w:rsidRPr="00687D4E" w:rsidRDefault="00790F2F" w:rsidP="00790F2F">
      <w:pPr>
        <w:pStyle w:val="BodyText"/>
        <w:ind w:left="0" w:right="260"/>
        <w:rPr>
          <w:rFonts w:asciiTheme="minorHAnsi" w:hAnsiTheme="minorHAnsi" w:cstheme="minorHAnsi"/>
          <w:i w:val="0"/>
          <w:sz w:val="22"/>
          <w:szCs w:val="22"/>
        </w:rPr>
      </w:pPr>
      <w:r w:rsidRPr="003A77D6">
        <w:rPr>
          <w:rFonts w:asciiTheme="minorHAnsi" w:hAnsiTheme="minorHAnsi" w:cstheme="minorHAnsi"/>
          <w:i w:val="0"/>
          <w:sz w:val="22"/>
          <w:szCs w:val="22"/>
          <w:lang w:val="en-GB" w:bidi="en-GB"/>
        </w:rPr>
        <w:t xml:space="preserve">The Executive Board makes </w:t>
      </w:r>
      <w:r w:rsidRPr="003A77D6">
        <w:rPr>
          <w:rFonts w:asciiTheme="minorHAnsi" w:hAnsiTheme="minorHAnsi" w:cstheme="minorHAnsi"/>
          <w:sz w:val="22"/>
          <w:szCs w:val="22"/>
          <w:lang w:val="en-GB" w:bidi="en-GB"/>
        </w:rPr>
        <w:t>temporary resources</w:t>
      </w:r>
      <w:r w:rsidRPr="003A77D6">
        <w:rPr>
          <w:rFonts w:asciiTheme="minorHAnsi" w:hAnsiTheme="minorHAnsi" w:cstheme="minorHAnsi"/>
          <w:i w:val="0"/>
          <w:sz w:val="22"/>
          <w:szCs w:val="22"/>
          <w:lang w:val="en-GB" w:bidi="en-GB"/>
        </w:rPr>
        <w:t xml:space="preserve"> from the Christine Mohrmann Fund available for the appointment of an associate professor if the associate professor meets the faculty's quality requirements and the appointment increases gender diversity in the professional environment. The temporary resources are intended to encourage an appointment; the faculty then ensures, where possible, the structural integration of the associate professor. The resources can be used to accelerate the promotion of an assistant professor to associate professor or to facilitate the appointment of a new external associate professor. In both cases, the unit should indicate the reasons why resources allow for the appointment in question.</w:t>
      </w:r>
    </w:p>
    <w:p w14:paraId="6B2A7DFE" w14:textId="77777777" w:rsidR="00790F2F" w:rsidRPr="00687D4E" w:rsidRDefault="00790F2F" w:rsidP="00790F2F">
      <w:pPr>
        <w:pStyle w:val="BodyText"/>
        <w:ind w:left="0" w:right="260"/>
        <w:rPr>
          <w:rFonts w:asciiTheme="minorHAnsi" w:hAnsiTheme="minorHAnsi" w:cstheme="minorHAnsi"/>
          <w:sz w:val="22"/>
          <w:szCs w:val="22"/>
        </w:rPr>
      </w:pPr>
    </w:p>
    <w:p w14:paraId="58306073" w14:textId="77777777" w:rsidR="00790F2F" w:rsidRPr="00687D4E" w:rsidRDefault="00790F2F" w:rsidP="00790F2F">
      <w:pPr>
        <w:pStyle w:val="BodyText"/>
        <w:ind w:left="0" w:right="260"/>
        <w:rPr>
          <w:rFonts w:asciiTheme="minorHAnsi" w:hAnsiTheme="minorHAnsi" w:cstheme="minorHAnsi"/>
          <w:sz w:val="22"/>
          <w:szCs w:val="22"/>
        </w:rPr>
      </w:pPr>
    </w:p>
    <w:p w14:paraId="52F0FA43" w14:textId="56A37DD0" w:rsidR="00790F2F" w:rsidRPr="00687D4E" w:rsidRDefault="00A904B8" w:rsidP="00790F2F">
      <w:pPr>
        <w:pStyle w:val="BodyText"/>
        <w:ind w:left="0" w:right="260"/>
        <w:rPr>
          <w:rFonts w:asciiTheme="minorHAnsi" w:hAnsiTheme="minorHAnsi" w:cstheme="minorHAnsi"/>
          <w:i w:val="0"/>
          <w:sz w:val="22"/>
          <w:szCs w:val="22"/>
        </w:rPr>
      </w:pPr>
      <w:r>
        <w:rPr>
          <w:rFonts w:asciiTheme="minorHAnsi" w:hAnsiTheme="minorHAnsi" w:cstheme="minorHAnsi"/>
          <w:i w:val="0"/>
          <w:sz w:val="22"/>
          <w:szCs w:val="22"/>
          <w:lang w:val="en-GB" w:bidi="en-GB"/>
        </w:rPr>
        <w:t>The Faculty .............represented by Dean ................................submits an application for the appointment of .........................................................................................................................................................................</w:t>
      </w:r>
    </w:p>
    <w:p w14:paraId="01BDB80E" w14:textId="77777777" w:rsidR="00790F2F" w:rsidRPr="00687D4E" w:rsidRDefault="00790F2F" w:rsidP="00790F2F">
      <w:pPr>
        <w:pStyle w:val="BodyText"/>
        <w:ind w:left="0" w:right="260"/>
        <w:rPr>
          <w:rFonts w:asciiTheme="minorHAnsi" w:hAnsiTheme="minorHAnsi" w:cstheme="minorHAnsi"/>
          <w:i w:val="0"/>
          <w:sz w:val="22"/>
          <w:szCs w:val="22"/>
        </w:rPr>
      </w:pPr>
    </w:p>
    <w:p w14:paraId="664AB126" w14:textId="77777777" w:rsidR="00790F2F" w:rsidRPr="00687D4E" w:rsidRDefault="00790F2F" w:rsidP="00790F2F">
      <w:pPr>
        <w:pStyle w:val="BodyText"/>
        <w:ind w:left="0" w:right="260"/>
        <w:rPr>
          <w:rFonts w:asciiTheme="minorHAnsi" w:hAnsiTheme="minorHAnsi" w:cstheme="minorHAnsi"/>
          <w:b/>
          <w:i w:val="0"/>
          <w:sz w:val="22"/>
          <w:szCs w:val="22"/>
        </w:rPr>
      </w:pPr>
    </w:p>
    <w:p w14:paraId="5A7AE442" w14:textId="77777777" w:rsidR="00790F2F" w:rsidRPr="00687D4E" w:rsidRDefault="00790F2F" w:rsidP="00790F2F">
      <w:pPr>
        <w:pStyle w:val="BodyText"/>
        <w:ind w:left="0" w:right="260"/>
        <w:rPr>
          <w:rFonts w:asciiTheme="minorHAnsi" w:hAnsiTheme="minorHAnsi" w:cstheme="minorHAnsi"/>
          <w:b/>
          <w:i w:val="0"/>
          <w:sz w:val="22"/>
          <w:szCs w:val="22"/>
        </w:rPr>
      </w:pPr>
      <w:r w:rsidRPr="008848DD">
        <w:rPr>
          <w:rFonts w:asciiTheme="minorHAnsi" w:hAnsiTheme="minorHAnsi" w:cstheme="minorHAnsi"/>
          <w:b/>
          <w:sz w:val="22"/>
          <w:szCs w:val="22"/>
          <w:lang w:val="en-GB" w:bidi="en-GB"/>
        </w:rPr>
        <w:t>Criteria</w:t>
      </w:r>
    </w:p>
    <w:p w14:paraId="3793A692" w14:textId="591E7538" w:rsidR="00790F2F" w:rsidRPr="00687D4E" w:rsidRDefault="00790F2F" w:rsidP="00790F2F">
      <w:pPr>
        <w:pStyle w:val="BodyText"/>
        <w:ind w:left="0" w:right="260"/>
        <w:rPr>
          <w:rFonts w:asciiTheme="minorHAnsi" w:hAnsiTheme="minorHAnsi" w:cstheme="minorHAnsi"/>
          <w:i w:val="0"/>
          <w:sz w:val="22"/>
          <w:szCs w:val="22"/>
        </w:rPr>
      </w:pPr>
      <w:r w:rsidRPr="00CB0CE3">
        <w:rPr>
          <w:rFonts w:asciiTheme="minorHAnsi" w:hAnsiTheme="minorHAnsi" w:cstheme="minorHAnsi"/>
          <w:sz w:val="22"/>
          <w:szCs w:val="22"/>
          <w:lang w:val="en-GB" w:bidi="en-GB"/>
        </w:rPr>
        <w:t>The Executive Board makes resources available from the Fund based on the criteria below.</w:t>
      </w:r>
      <w:r w:rsidRPr="00CB0CE3">
        <w:rPr>
          <w:rFonts w:asciiTheme="minorHAnsi" w:hAnsiTheme="minorHAnsi" w:cstheme="minorHAnsi"/>
          <w:sz w:val="22"/>
          <w:szCs w:val="22"/>
          <w:lang w:val="en-GB" w:bidi="en-GB"/>
        </w:rPr>
        <w:br/>
      </w:r>
    </w:p>
    <w:p w14:paraId="366A0CC6" w14:textId="590B5E10" w:rsidR="00790F2F" w:rsidRPr="00DD057B" w:rsidRDefault="00790F2F" w:rsidP="00790F2F">
      <w:pPr>
        <w:tabs>
          <w:tab w:val="left" w:pos="355"/>
        </w:tabs>
        <w:ind w:right="400"/>
        <w:rPr>
          <w:rFonts w:cstheme="minorHAnsi"/>
          <w:i/>
          <w:lang w:val="nl-NL"/>
        </w:rPr>
      </w:pPr>
      <w:r>
        <w:rPr>
          <w:rFonts w:eastAsia="Arial" w:cstheme="minorHAnsi"/>
          <w:b/>
          <w:lang w:val="en-GB" w:bidi="en-GB"/>
        </w:rPr>
        <w:br/>
        <w:t xml:space="preserve">- </w:t>
      </w:r>
      <w:r w:rsidRPr="005D4100">
        <w:rPr>
          <w:rFonts w:cstheme="minorHAnsi"/>
          <w:i/>
          <w:lang w:val="en-GB" w:bidi="en-GB"/>
        </w:rPr>
        <w:t>What kind of appointment is it? Is it for the promotion of a sitting assistant professor to associate professor, or the appointment of a new external associate professor? How many FTEs does it involve?</w:t>
      </w:r>
    </w:p>
    <w:p w14:paraId="1D78EAB0" w14:textId="77777777" w:rsidR="00790F2F" w:rsidRPr="005D4100" w:rsidRDefault="00790F2F" w:rsidP="00790F2F">
      <w:pPr>
        <w:tabs>
          <w:tab w:val="left" w:pos="355"/>
        </w:tabs>
        <w:ind w:right="400"/>
        <w:rPr>
          <w:rFonts w:cstheme="minorHAnsi"/>
          <w:i/>
          <w:lang w:val="nl-NL"/>
        </w:rPr>
      </w:pPr>
    </w:p>
    <w:p w14:paraId="42D024D9" w14:textId="77777777" w:rsidR="00790F2F" w:rsidRPr="005D4100" w:rsidRDefault="00790F2F" w:rsidP="00790F2F">
      <w:pPr>
        <w:tabs>
          <w:tab w:val="left" w:pos="355"/>
        </w:tabs>
        <w:ind w:right="1031"/>
        <w:rPr>
          <w:rFonts w:eastAsia="Arial" w:cstheme="minorHAnsi"/>
          <w:b/>
          <w:lang w:val="nl-NL"/>
        </w:rPr>
      </w:pPr>
      <w:r w:rsidRPr="005D4100">
        <w:rPr>
          <w:rFonts w:cstheme="minorHAnsi"/>
          <w:b/>
          <w:i/>
          <w:lang w:val="en-GB" w:bidi="en-GB"/>
        </w:rPr>
        <w:t>Explanation</w:t>
      </w:r>
    </w:p>
    <w:tbl>
      <w:tblPr>
        <w:tblStyle w:val="TableGrid"/>
        <w:tblW w:w="0" w:type="auto"/>
        <w:tblInd w:w="-5" w:type="dxa"/>
        <w:tblLook w:val="04A0" w:firstRow="1" w:lastRow="0" w:firstColumn="1" w:lastColumn="0" w:noHBand="0" w:noVBand="1"/>
      </w:tblPr>
      <w:tblGrid>
        <w:gridCol w:w="9067"/>
      </w:tblGrid>
      <w:tr w:rsidR="00790F2F" w:rsidRPr="00DD3482" w14:paraId="0C80BE41" w14:textId="77777777" w:rsidTr="006936BA">
        <w:tc>
          <w:tcPr>
            <w:tcW w:w="9067" w:type="dxa"/>
          </w:tcPr>
          <w:p w14:paraId="46227A8A" w14:textId="77777777" w:rsidR="00790F2F" w:rsidRDefault="00790F2F" w:rsidP="006936BA">
            <w:pPr>
              <w:tabs>
                <w:tab w:val="left" w:pos="355"/>
              </w:tabs>
              <w:ind w:right="516"/>
              <w:rPr>
                <w:rFonts w:eastAsia="Arial" w:cstheme="minorHAnsi"/>
                <w:b/>
                <w:lang w:val="nl-NL"/>
              </w:rPr>
            </w:pPr>
          </w:p>
          <w:p w14:paraId="33C3D494" w14:textId="77777777" w:rsidR="00790F2F" w:rsidRDefault="00790F2F" w:rsidP="006936BA">
            <w:pPr>
              <w:tabs>
                <w:tab w:val="left" w:pos="355"/>
              </w:tabs>
              <w:ind w:right="516"/>
              <w:rPr>
                <w:rFonts w:eastAsia="Arial" w:cstheme="minorHAnsi"/>
                <w:b/>
                <w:lang w:val="nl-NL"/>
              </w:rPr>
            </w:pPr>
          </w:p>
          <w:p w14:paraId="7ABF0070" w14:textId="77777777" w:rsidR="00790F2F" w:rsidRDefault="00790F2F" w:rsidP="006936BA">
            <w:pPr>
              <w:tabs>
                <w:tab w:val="left" w:pos="355"/>
              </w:tabs>
              <w:ind w:right="516"/>
              <w:rPr>
                <w:rFonts w:eastAsia="Arial" w:cstheme="minorHAnsi"/>
                <w:b/>
                <w:lang w:val="nl-NL"/>
              </w:rPr>
            </w:pPr>
          </w:p>
        </w:tc>
      </w:tr>
    </w:tbl>
    <w:p w14:paraId="420F76F0" w14:textId="77777777" w:rsidR="00790F2F" w:rsidRPr="00CB0CE3" w:rsidRDefault="00790F2F" w:rsidP="00790F2F">
      <w:pPr>
        <w:pStyle w:val="BodyText"/>
        <w:ind w:left="0" w:right="260"/>
        <w:rPr>
          <w:rFonts w:asciiTheme="minorHAnsi" w:hAnsiTheme="minorHAnsi" w:cstheme="minorHAnsi"/>
          <w:i w:val="0"/>
          <w:sz w:val="22"/>
          <w:szCs w:val="22"/>
          <w:lang w:val="nl-NL"/>
        </w:rPr>
      </w:pPr>
    </w:p>
    <w:p w14:paraId="6652BF49" w14:textId="24247BD5" w:rsidR="00790F2F" w:rsidRPr="00DF2D8A" w:rsidRDefault="00790F2F" w:rsidP="00790F2F">
      <w:pPr>
        <w:pStyle w:val="ListParagraph"/>
        <w:numPr>
          <w:ilvl w:val="0"/>
          <w:numId w:val="1"/>
        </w:numPr>
        <w:tabs>
          <w:tab w:val="left" w:pos="355"/>
        </w:tabs>
        <w:rPr>
          <w:rFonts w:eastAsia="Arial" w:cstheme="minorHAnsi"/>
          <w:b/>
          <w:lang w:val="nl-NL"/>
        </w:rPr>
      </w:pPr>
      <w:r w:rsidRPr="00DF2D8A">
        <w:rPr>
          <w:rFonts w:cstheme="minorHAnsi"/>
          <w:i/>
          <w:lang w:val="en-GB" w:bidi="en-GB"/>
        </w:rPr>
        <w:t xml:space="preserve">The appointment of the associate professor leads to more gender diversity. This is substantiated with figures by the unit. </w:t>
      </w:r>
      <w:r w:rsidRPr="00DF2D8A">
        <w:rPr>
          <w:rFonts w:cstheme="minorHAnsi"/>
          <w:i/>
          <w:lang w:val="en-GB" w:bidi="en-GB"/>
        </w:rPr>
        <w:br/>
      </w:r>
      <w:r w:rsidRPr="00DF2D8A">
        <w:rPr>
          <w:rFonts w:cstheme="minorHAnsi"/>
          <w:i/>
          <w:lang w:val="en-GB" w:bidi="en-GB"/>
        </w:rPr>
        <w:br/>
      </w:r>
      <w:r w:rsidRPr="00DF2D8A">
        <w:rPr>
          <w:rFonts w:cstheme="minorHAnsi"/>
          <w:b/>
          <w:i/>
          <w:lang w:val="en-GB" w:bidi="en-GB"/>
        </w:rPr>
        <w:t>Explanation</w:t>
      </w:r>
    </w:p>
    <w:tbl>
      <w:tblPr>
        <w:tblStyle w:val="TableGrid"/>
        <w:tblW w:w="0" w:type="auto"/>
        <w:tblLook w:val="04A0" w:firstRow="1" w:lastRow="0" w:firstColumn="1" w:lastColumn="0" w:noHBand="0" w:noVBand="1"/>
      </w:tblPr>
      <w:tblGrid>
        <w:gridCol w:w="9062"/>
      </w:tblGrid>
      <w:tr w:rsidR="00790F2F" w:rsidRPr="003E2509" w14:paraId="18F79390" w14:textId="77777777" w:rsidTr="006936BA">
        <w:tc>
          <w:tcPr>
            <w:tcW w:w="9062" w:type="dxa"/>
          </w:tcPr>
          <w:p w14:paraId="0F813528" w14:textId="77777777" w:rsidR="00790F2F" w:rsidRPr="00B21F5A" w:rsidRDefault="00790F2F" w:rsidP="006936BA">
            <w:pPr>
              <w:pStyle w:val="ListParagraph"/>
              <w:tabs>
                <w:tab w:val="left" w:pos="355"/>
              </w:tabs>
              <w:ind w:right="400"/>
              <w:rPr>
                <w:rFonts w:cstheme="minorHAnsi"/>
                <w:lang w:val="nl-NL"/>
              </w:rPr>
            </w:pPr>
          </w:p>
          <w:p w14:paraId="6AE0E6A4" w14:textId="77777777" w:rsidR="00790F2F" w:rsidRDefault="00790F2F" w:rsidP="006936BA">
            <w:pPr>
              <w:pStyle w:val="ListParagraph"/>
              <w:tabs>
                <w:tab w:val="left" w:pos="355"/>
              </w:tabs>
              <w:ind w:right="400"/>
              <w:rPr>
                <w:rFonts w:cstheme="minorHAnsi"/>
                <w:b/>
                <w:i/>
                <w:lang w:val="nl-NL"/>
              </w:rPr>
            </w:pPr>
          </w:p>
          <w:p w14:paraId="50FD1ABD" w14:textId="77777777" w:rsidR="00790F2F" w:rsidRDefault="00790F2F" w:rsidP="006936BA">
            <w:pPr>
              <w:pStyle w:val="ListParagraph"/>
              <w:tabs>
                <w:tab w:val="left" w:pos="355"/>
              </w:tabs>
              <w:ind w:right="400"/>
              <w:rPr>
                <w:rFonts w:cstheme="minorHAnsi"/>
                <w:b/>
                <w:i/>
                <w:lang w:val="nl-NL"/>
              </w:rPr>
            </w:pPr>
          </w:p>
        </w:tc>
      </w:tr>
    </w:tbl>
    <w:p w14:paraId="6CE4B90D" w14:textId="77777777" w:rsidR="00790F2F" w:rsidRPr="00DF2D8A" w:rsidRDefault="00790F2F" w:rsidP="00790F2F">
      <w:pPr>
        <w:pStyle w:val="ListParagraph"/>
        <w:tabs>
          <w:tab w:val="left" w:pos="355"/>
        </w:tabs>
        <w:ind w:left="123" w:right="400"/>
        <w:rPr>
          <w:rFonts w:eastAsia="Arial" w:cstheme="minorHAnsi"/>
          <w:i/>
          <w:lang w:val="nl-NL"/>
        </w:rPr>
      </w:pPr>
    </w:p>
    <w:p w14:paraId="1D9C1B57" w14:textId="77777777" w:rsidR="00790F2F" w:rsidRPr="00687D4E" w:rsidRDefault="00790F2F" w:rsidP="00790F2F">
      <w:pPr>
        <w:pStyle w:val="ListParagraph"/>
        <w:numPr>
          <w:ilvl w:val="0"/>
          <w:numId w:val="1"/>
        </w:numPr>
        <w:tabs>
          <w:tab w:val="left" w:pos="355"/>
        </w:tabs>
        <w:rPr>
          <w:rFonts w:eastAsia="Arial" w:cstheme="minorHAnsi"/>
          <w:i/>
        </w:rPr>
      </w:pPr>
      <w:r w:rsidRPr="00DD057B">
        <w:rPr>
          <w:rFonts w:cstheme="minorHAnsi"/>
          <w:i/>
          <w:lang w:val="en-GB" w:bidi="en-GB"/>
        </w:rPr>
        <w:t>The faculty substantiates why the resources are necessary to make the appointment possible.</w:t>
      </w:r>
    </w:p>
    <w:p w14:paraId="08D19693" w14:textId="77777777" w:rsidR="00790F2F" w:rsidRPr="00687D4E" w:rsidRDefault="00790F2F" w:rsidP="00790F2F">
      <w:pPr>
        <w:pStyle w:val="ListParagraph"/>
        <w:tabs>
          <w:tab w:val="left" w:pos="355"/>
        </w:tabs>
        <w:ind w:left="123" w:right="400"/>
        <w:rPr>
          <w:rFonts w:eastAsia="Arial" w:cstheme="minorHAnsi"/>
          <w:i/>
        </w:rPr>
      </w:pPr>
    </w:p>
    <w:p w14:paraId="6B8A4131" w14:textId="77777777" w:rsidR="00790F2F" w:rsidRPr="00DD057B" w:rsidRDefault="00790F2F" w:rsidP="00790F2F">
      <w:pPr>
        <w:tabs>
          <w:tab w:val="left" w:pos="355"/>
        </w:tabs>
        <w:ind w:right="1031"/>
        <w:rPr>
          <w:rFonts w:eastAsia="Arial" w:cstheme="minorHAnsi"/>
          <w:b/>
          <w:lang w:val="nl-NL"/>
        </w:rPr>
      </w:pPr>
      <w:r w:rsidRPr="00DD057B">
        <w:rPr>
          <w:rFonts w:cstheme="minorHAnsi"/>
          <w:b/>
          <w:i/>
          <w:lang w:val="en-GB" w:bidi="en-GB"/>
        </w:rPr>
        <w:t>Explanation</w:t>
      </w:r>
    </w:p>
    <w:tbl>
      <w:tblPr>
        <w:tblStyle w:val="TableGrid"/>
        <w:tblW w:w="0" w:type="auto"/>
        <w:tblLook w:val="04A0" w:firstRow="1" w:lastRow="0" w:firstColumn="1" w:lastColumn="0" w:noHBand="0" w:noVBand="1"/>
      </w:tblPr>
      <w:tblGrid>
        <w:gridCol w:w="9062"/>
      </w:tblGrid>
      <w:tr w:rsidR="00790F2F" w:rsidRPr="00DD3482" w14:paraId="7BB3113C" w14:textId="77777777" w:rsidTr="006936BA">
        <w:tc>
          <w:tcPr>
            <w:tcW w:w="9062" w:type="dxa"/>
          </w:tcPr>
          <w:p w14:paraId="31F3F30E" w14:textId="77777777" w:rsidR="00790F2F" w:rsidRPr="00B21F5A" w:rsidRDefault="00790F2F" w:rsidP="006936BA">
            <w:pPr>
              <w:pStyle w:val="ListParagraph"/>
              <w:tabs>
                <w:tab w:val="left" w:pos="355"/>
              </w:tabs>
              <w:ind w:right="400"/>
              <w:rPr>
                <w:rFonts w:cstheme="minorHAnsi"/>
                <w:lang w:val="nl-NL"/>
              </w:rPr>
            </w:pPr>
          </w:p>
          <w:p w14:paraId="76C03C78" w14:textId="77777777" w:rsidR="00790F2F" w:rsidRDefault="00790F2F" w:rsidP="006936BA">
            <w:pPr>
              <w:pStyle w:val="ListParagraph"/>
              <w:tabs>
                <w:tab w:val="left" w:pos="355"/>
              </w:tabs>
              <w:ind w:right="400"/>
              <w:rPr>
                <w:rFonts w:cstheme="minorHAnsi"/>
                <w:b/>
                <w:i/>
                <w:lang w:val="nl-NL"/>
              </w:rPr>
            </w:pPr>
          </w:p>
          <w:p w14:paraId="47DCC65F" w14:textId="77777777" w:rsidR="00790F2F" w:rsidRDefault="00790F2F" w:rsidP="006936BA">
            <w:pPr>
              <w:pStyle w:val="ListParagraph"/>
              <w:tabs>
                <w:tab w:val="left" w:pos="355"/>
              </w:tabs>
              <w:ind w:right="400"/>
              <w:rPr>
                <w:rFonts w:cstheme="minorHAnsi"/>
                <w:b/>
                <w:i/>
                <w:lang w:val="nl-NL"/>
              </w:rPr>
            </w:pPr>
          </w:p>
        </w:tc>
      </w:tr>
    </w:tbl>
    <w:p w14:paraId="1FA92C20" w14:textId="77777777" w:rsidR="00790F2F" w:rsidRPr="008848DD" w:rsidRDefault="00790F2F" w:rsidP="00790F2F">
      <w:pPr>
        <w:pStyle w:val="ListParagraph"/>
        <w:tabs>
          <w:tab w:val="left" w:pos="355"/>
        </w:tabs>
        <w:ind w:right="400"/>
        <w:rPr>
          <w:rFonts w:eastAsia="Arial" w:cstheme="minorHAnsi"/>
          <w:b/>
          <w:lang w:val="nl-NL"/>
        </w:rPr>
      </w:pPr>
    </w:p>
    <w:p w14:paraId="380E8EE2" w14:textId="317817A2" w:rsidR="00790F2F" w:rsidRPr="00687D4E" w:rsidRDefault="00790F2F" w:rsidP="00790F2F">
      <w:pPr>
        <w:pStyle w:val="ListParagraph"/>
        <w:numPr>
          <w:ilvl w:val="0"/>
          <w:numId w:val="1"/>
        </w:numPr>
        <w:tabs>
          <w:tab w:val="left" w:pos="355"/>
        </w:tabs>
        <w:rPr>
          <w:rFonts w:eastAsia="Arial" w:cstheme="minorHAnsi"/>
        </w:rPr>
      </w:pPr>
      <w:r w:rsidRPr="005D4100">
        <w:rPr>
          <w:rFonts w:cstheme="minorHAnsi"/>
          <w:i/>
          <w:lang w:val="en-GB" w:bidi="en-GB"/>
        </w:rPr>
        <w:t>The associate professor appointment procedure has yet to start. It must concern a new appointment.</w:t>
      </w:r>
    </w:p>
    <w:p w14:paraId="218C43FA" w14:textId="77777777" w:rsidR="00790F2F" w:rsidRPr="00687D4E" w:rsidRDefault="00790F2F" w:rsidP="00790F2F">
      <w:pPr>
        <w:pStyle w:val="ListParagraph"/>
        <w:tabs>
          <w:tab w:val="left" w:pos="355"/>
        </w:tabs>
        <w:ind w:left="123" w:right="1031"/>
        <w:rPr>
          <w:rFonts w:eastAsia="Arial" w:cstheme="minorHAnsi"/>
        </w:rPr>
      </w:pPr>
    </w:p>
    <w:p w14:paraId="1D18996D" w14:textId="77777777" w:rsidR="00790F2F" w:rsidRPr="005D4100" w:rsidRDefault="00790F2F" w:rsidP="00790F2F">
      <w:pPr>
        <w:tabs>
          <w:tab w:val="left" w:pos="355"/>
        </w:tabs>
        <w:ind w:right="400"/>
        <w:rPr>
          <w:rFonts w:eastAsia="Arial" w:cstheme="minorHAnsi"/>
          <w:b/>
          <w:lang w:val="nl-NL"/>
        </w:rPr>
      </w:pPr>
      <w:r>
        <w:rPr>
          <w:rFonts w:cstheme="minorHAnsi"/>
          <w:b/>
          <w:i/>
          <w:lang w:val="en-GB" w:bidi="en-GB"/>
        </w:rPr>
        <w:t>Explanation</w:t>
      </w:r>
    </w:p>
    <w:tbl>
      <w:tblPr>
        <w:tblStyle w:val="TableGrid"/>
        <w:tblW w:w="0" w:type="auto"/>
        <w:tblLook w:val="04A0" w:firstRow="1" w:lastRow="0" w:firstColumn="1" w:lastColumn="0" w:noHBand="0" w:noVBand="1"/>
      </w:tblPr>
      <w:tblGrid>
        <w:gridCol w:w="9062"/>
      </w:tblGrid>
      <w:tr w:rsidR="00790F2F" w:rsidRPr="00DD3482" w14:paraId="032A56B7" w14:textId="77777777" w:rsidTr="006936BA">
        <w:tc>
          <w:tcPr>
            <w:tcW w:w="9062" w:type="dxa"/>
          </w:tcPr>
          <w:p w14:paraId="53C2A8A3" w14:textId="77777777" w:rsidR="00790F2F" w:rsidRPr="00960927" w:rsidRDefault="00790F2F" w:rsidP="006936BA">
            <w:pPr>
              <w:pStyle w:val="ListParagraph"/>
              <w:tabs>
                <w:tab w:val="left" w:pos="355"/>
              </w:tabs>
              <w:ind w:right="400"/>
              <w:rPr>
                <w:rFonts w:cstheme="minorHAnsi"/>
                <w:lang w:val="nl-NL"/>
              </w:rPr>
            </w:pPr>
          </w:p>
          <w:p w14:paraId="6DCC5E56" w14:textId="77777777" w:rsidR="00790F2F" w:rsidRPr="00960927" w:rsidRDefault="00790F2F" w:rsidP="006936BA">
            <w:pPr>
              <w:pStyle w:val="ListParagraph"/>
              <w:tabs>
                <w:tab w:val="left" w:pos="355"/>
              </w:tabs>
              <w:ind w:right="400"/>
              <w:rPr>
                <w:rFonts w:cstheme="minorHAnsi"/>
                <w:lang w:val="nl-NL"/>
              </w:rPr>
            </w:pPr>
          </w:p>
          <w:p w14:paraId="544C0360" w14:textId="77777777" w:rsidR="00790F2F" w:rsidRPr="00960927" w:rsidRDefault="00790F2F" w:rsidP="006936BA">
            <w:pPr>
              <w:pStyle w:val="ListParagraph"/>
              <w:tabs>
                <w:tab w:val="left" w:pos="355"/>
              </w:tabs>
              <w:ind w:right="400"/>
              <w:rPr>
                <w:rFonts w:cstheme="minorHAnsi"/>
                <w:lang w:val="nl-NL"/>
              </w:rPr>
            </w:pPr>
          </w:p>
        </w:tc>
      </w:tr>
    </w:tbl>
    <w:p w14:paraId="0A4D5FFC" w14:textId="77777777" w:rsidR="00790F2F" w:rsidRDefault="00790F2F" w:rsidP="00790F2F">
      <w:pPr>
        <w:pStyle w:val="ListParagraph"/>
        <w:tabs>
          <w:tab w:val="left" w:pos="355"/>
        </w:tabs>
        <w:ind w:left="265" w:right="1031"/>
        <w:rPr>
          <w:rFonts w:cstheme="minorHAnsi"/>
          <w:b/>
          <w:i/>
        </w:rPr>
      </w:pPr>
    </w:p>
    <w:p w14:paraId="5567EE2F" w14:textId="214A8243" w:rsidR="00790F2F" w:rsidRPr="00687D4E" w:rsidRDefault="00790F2F" w:rsidP="00790F2F">
      <w:pPr>
        <w:pStyle w:val="ListParagraph"/>
        <w:tabs>
          <w:tab w:val="left" w:pos="0"/>
        </w:tabs>
        <w:ind w:left="142" w:hanging="142"/>
        <w:rPr>
          <w:rFonts w:cstheme="minorHAnsi"/>
        </w:rPr>
      </w:pPr>
      <w:r w:rsidRPr="005D4100">
        <w:rPr>
          <w:rFonts w:eastAsia="Arial" w:cstheme="minorHAnsi"/>
          <w:lang w:val="en-GB" w:bidi="en-GB"/>
        </w:rPr>
        <w:t xml:space="preserve">- </w:t>
      </w:r>
      <w:r w:rsidRPr="005D4100">
        <w:rPr>
          <w:rFonts w:cstheme="minorHAnsi"/>
          <w:i/>
          <w:lang w:val="en-GB" w:bidi="en-GB"/>
        </w:rPr>
        <w:t>There is a preference for the appointment of the associate professor in a structural position. If the appointment is for a temporary position, at the end of a set period of time it will be examined whether, in the event of good performance, it can be converted into a structural position</w:t>
      </w:r>
      <w:r w:rsidRPr="005D4100">
        <w:rPr>
          <w:rFonts w:cstheme="minorHAnsi"/>
          <w:lang w:val="en-GB" w:bidi="en-GB"/>
        </w:rPr>
        <w:t>.</w:t>
      </w:r>
    </w:p>
    <w:p w14:paraId="0F297548" w14:textId="77777777" w:rsidR="00790F2F" w:rsidRPr="00687D4E" w:rsidRDefault="00790F2F" w:rsidP="00790F2F">
      <w:pPr>
        <w:pStyle w:val="ListParagraph"/>
        <w:tabs>
          <w:tab w:val="left" w:pos="0"/>
        </w:tabs>
        <w:ind w:right="1031"/>
        <w:rPr>
          <w:rFonts w:cstheme="minorHAnsi"/>
        </w:rPr>
      </w:pPr>
    </w:p>
    <w:p w14:paraId="44850B25" w14:textId="77777777" w:rsidR="00790F2F" w:rsidRPr="005D4100" w:rsidRDefault="00790F2F" w:rsidP="00790F2F">
      <w:pPr>
        <w:tabs>
          <w:tab w:val="left" w:pos="355"/>
        </w:tabs>
        <w:ind w:right="1031"/>
        <w:rPr>
          <w:rFonts w:eastAsia="Arial" w:cstheme="minorHAnsi"/>
          <w:b/>
          <w:lang w:val="nl-NL"/>
        </w:rPr>
      </w:pPr>
      <w:r w:rsidRPr="005D4100">
        <w:rPr>
          <w:rFonts w:cstheme="minorHAnsi"/>
          <w:b/>
          <w:i/>
          <w:lang w:val="en-GB" w:bidi="en-GB"/>
        </w:rPr>
        <w:t>Explanation</w:t>
      </w:r>
    </w:p>
    <w:tbl>
      <w:tblPr>
        <w:tblStyle w:val="TableGrid"/>
        <w:tblW w:w="0" w:type="auto"/>
        <w:tblInd w:w="-5" w:type="dxa"/>
        <w:tblLook w:val="04A0" w:firstRow="1" w:lastRow="0" w:firstColumn="1" w:lastColumn="0" w:noHBand="0" w:noVBand="1"/>
      </w:tblPr>
      <w:tblGrid>
        <w:gridCol w:w="9067"/>
      </w:tblGrid>
      <w:tr w:rsidR="00790F2F" w:rsidRPr="00DD3482" w14:paraId="3B87DD94" w14:textId="77777777" w:rsidTr="006936BA">
        <w:tc>
          <w:tcPr>
            <w:tcW w:w="9067" w:type="dxa"/>
          </w:tcPr>
          <w:p w14:paraId="3F0968ED" w14:textId="77777777" w:rsidR="00790F2F" w:rsidRDefault="00790F2F" w:rsidP="006936BA">
            <w:pPr>
              <w:tabs>
                <w:tab w:val="left" w:pos="355"/>
              </w:tabs>
              <w:ind w:right="516"/>
              <w:rPr>
                <w:rFonts w:eastAsia="Arial" w:cstheme="minorHAnsi"/>
                <w:b/>
                <w:lang w:val="nl-NL"/>
              </w:rPr>
            </w:pPr>
          </w:p>
          <w:p w14:paraId="670B27CF" w14:textId="77777777" w:rsidR="00790F2F" w:rsidRDefault="00790F2F" w:rsidP="006936BA">
            <w:pPr>
              <w:tabs>
                <w:tab w:val="left" w:pos="355"/>
              </w:tabs>
              <w:ind w:right="516"/>
              <w:rPr>
                <w:rFonts w:eastAsia="Arial" w:cstheme="minorHAnsi"/>
                <w:b/>
                <w:lang w:val="nl-NL"/>
              </w:rPr>
            </w:pPr>
          </w:p>
          <w:p w14:paraId="320316A1" w14:textId="77777777" w:rsidR="00790F2F" w:rsidRDefault="00790F2F" w:rsidP="006936BA">
            <w:pPr>
              <w:tabs>
                <w:tab w:val="left" w:pos="355"/>
              </w:tabs>
              <w:ind w:right="516"/>
              <w:rPr>
                <w:rFonts w:eastAsia="Arial" w:cstheme="minorHAnsi"/>
                <w:b/>
                <w:lang w:val="nl-NL"/>
              </w:rPr>
            </w:pPr>
          </w:p>
        </w:tc>
      </w:tr>
    </w:tbl>
    <w:p w14:paraId="664C4E5B" w14:textId="77777777" w:rsidR="00790F2F" w:rsidRPr="00765476" w:rsidRDefault="00790F2F" w:rsidP="00790F2F">
      <w:pPr>
        <w:tabs>
          <w:tab w:val="left" w:pos="355"/>
        </w:tabs>
        <w:ind w:right="260"/>
        <w:rPr>
          <w:rFonts w:eastAsia="Arial" w:cstheme="minorHAnsi"/>
          <w:lang w:val="nl-NL"/>
        </w:rPr>
      </w:pPr>
    </w:p>
    <w:p w14:paraId="1866DFDD" w14:textId="77777777" w:rsidR="00790F2F" w:rsidRPr="00765476" w:rsidRDefault="00790F2F" w:rsidP="00790F2F">
      <w:pPr>
        <w:tabs>
          <w:tab w:val="left" w:pos="355"/>
        </w:tabs>
        <w:ind w:right="260"/>
        <w:rPr>
          <w:rFonts w:eastAsia="Arial" w:cstheme="minorHAnsi"/>
          <w:lang w:val="nl-NL"/>
        </w:rPr>
      </w:pPr>
    </w:p>
    <w:p w14:paraId="3DA6DCDB" w14:textId="77777777" w:rsidR="00790F2F" w:rsidRDefault="00790F2F" w:rsidP="00790F2F">
      <w:pPr>
        <w:tabs>
          <w:tab w:val="left" w:pos="355"/>
        </w:tabs>
        <w:ind w:right="400"/>
        <w:rPr>
          <w:rFonts w:cstheme="minorHAnsi"/>
          <w:b/>
          <w:lang w:val="nl-NL"/>
        </w:rPr>
      </w:pPr>
    </w:p>
    <w:p w14:paraId="4573808B" w14:textId="77777777" w:rsidR="00790F2F" w:rsidRPr="003E2509" w:rsidRDefault="00790F2F" w:rsidP="00790F2F">
      <w:pPr>
        <w:pStyle w:val="BodyText"/>
        <w:spacing w:line="229" w:lineRule="exact"/>
        <w:ind w:left="0" w:right="260"/>
        <w:rPr>
          <w:rFonts w:asciiTheme="minorHAnsi" w:hAnsiTheme="minorHAnsi" w:cstheme="minorHAnsi"/>
          <w:b/>
          <w:i w:val="0"/>
          <w:sz w:val="22"/>
          <w:szCs w:val="22"/>
          <w:lang w:val="nl-NL"/>
        </w:rPr>
      </w:pPr>
      <w:r w:rsidRPr="003E2509">
        <w:rPr>
          <w:rFonts w:asciiTheme="minorHAnsi" w:hAnsiTheme="minorHAnsi" w:cstheme="minorHAnsi"/>
          <w:b/>
          <w:i w:val="0"/>
          <w:sz w:val="22"/>
          <w:szCs w:val="22"/>
          <w:lang w:val="en-GB" w:bidi="en-GB"/>
        </w:rPr>
        <w:t>Eligible costs</w:t>
      </w:r>
    </w:p>
    <w:p w14:paraId="7B173D2B" w14:textId="77777777" w:rsidR="00790F2F" w:rsidRPr="00687D4E" w:rsidRDefault="00790F2F" w:rsidP="00790F2F">
      <w:pPr>
        <w:pStyle w:val="BodyText"/>
        <w:ind w:left="0" w:right="260"/>
        <w:rPr>
          <w:rFonts w:asciiTheme="minorHAnsi" w:hAnsiTheme="minorHAnsi" w:cstheme="minorHAnsi"/>
          <w:i w:val="0"/>
          <w:sz w:val="22"/>
          <w:szCs w:val="22"/>
        </w:rPr>
      </w:pPr>
      <w:r w:rsidRPr="003E2509">
        <w:rPr>
          <w:rFonts w:asciiTheme="minorHAnsi" w:hAnsiTheme="minorHAnsi" w:cstheme="minorHAnsi"/>
          <w:i w:val="0"/>
          <w:sz w:val="22"/>
          <w:szCs w:val="22"/>
          <w:lang w:val="en-GB" w:bidi="en-GB"/>
        </w:rPr>
        <w:t>During the first two years a maximum amount is available per appointment:</w:t>
      </w:r>
    </w:p>
    <w:p w14:paraId="4592914F" w14:textId="427410EB" w:rsidR="00790F2F" w:rsidRPr="00687D4E" w:rsidRDefault="00790F2F" w:rsidP="00790F2F">
      <w:pPr>
        <w:pStyle w:val="ListParagraph"/>
        <w:numPr>
          <w:ilvl w:val="0"/>
          <w:numId w:val="2"/>
        </w:numPr>
        <w:tabs>
          <w:tab w:val="left" w:pos="0"/>
        </w:tabs>
        <w:spacing w:line="229" w:lineRule="exact"/>
        <w:ind w:right="260" w:hanging="502"/>
        <w:rPr>
          <w:rFonts w:eastAsia="Arial" w:cstheme="minorHAnsi"/>
        </w:rPr>
      </w:pPr>
      <w:r w:rsidRPr="003E2509">
        <w:rPr>
          <w:rFonts w:eastAsia="Arial" w:cstheme="minorHAnsi"/>
          <w:lang w:val="en-GB" w:bidi="en-GB"/>
        </w:rPr>
        <w:t>promotion of a sitting assistant professor to an associate professor: €5,000 per year.</w:t>
      </w:r>
    </w:p>
    <w:p w14:paraId="22DD52C0" w14:textId="77777777" w:rsidR="00790F2F" w:rsidRPr="00687D4E" w:rsidRDefault="00790F2F" w:rsidP="00790F2F">
      <w:pPr>
        <w:pStyle w:val="ListParagraph"/>
        <w:tabs>
          <w:tab w:val="left" w:pos="0"/>
        </w:tabs>
        <w:ind w:right="584"/>
        <w:rPr>
          <w:rFonts w:cstheme="minorHAnsi"/>
        </w:rPr>
      </w:pPr>
      <w:r w:rsidRPr="003E2509">
        <w:rPr>
          <w:rFonts w:eastAsia="Arial" w:cstheme="minorHAnsi"/>
          <w:lang w:val="en-GB" w:bidi="en-GB"/>
        </w:rPr>
        <w:t xml:space="preserve">2.       appointment of a new external associate professor: the salary costs of the associate professor to be appointed with a maximum amount of €93,000 per year (based on UHD2 salary scale level 1). </w:t>
      </w:r>
    </w:p>
    <w:p w14:paraId="1FBC5B6E" w14:textId="79B9D345" w:rsidR="00790F2F" w:rsidRPr="00687D4E" w:rsidRDefault="00790F2F" w:rsidP="00790F2F">
      <w:pPr>
        <w:pStyle w:val="ListParagraph"/>
        <w:tabs>
          <w:tab w:val="left" w:pos="0"/>
        </w:tabs>
        <w:ind w:right="584"/>
        <w:rPr>
          <w:rFonts w:eastAsia="Arial" w:cstheme="minorHAnsi"/>
          <w:sz w:val="20"/>
          <w:szCs w:val="20"/>
        </w:rPr>
      </w:pPr>
      <w:r w:rsidRPr="003E2509">
        <w:rPr>
          <w:rFonts w:cstheme="minorHAnsi"/>
          <w:lang w:val="en-GB" w:bidi="en-GB"/>
        </w:rPr>
        <w:t>This amount is based on full-time employment and the amount is adjusted in proportion to the scope of the appointment.</w:t>
      </w:r>
    </w:p>
    <w:p w14:paraId="180C4FF9" w14:textId="77777777" w:rsidR="00790F2F" w:rsidRPr="00687D4E" w:rsidRDefault="00790F2F" w:rsidP="00790F2F">
      <w:pPr>
        <w:tabs>
          <w:tab w:val="left" w:pos="453"/>
        </w:tabs>
        <w:ind w:right="584"/>
        <w:rPr>
          <w:rFonts w:eastAsia="Arial" w:cstheme="minorHAnsi"/>
          <w:sz w:val="20"/>
          <w:szCs w:val="20"/>
        </w:rPr>
      </w:pPr>
    </w:p>
    <w:p w14:paraId="2B64C219" w14:textId="1A2C4E9D" w:rsidR="00790F2F" w:rsidRPr="00687D4E" w:rsidRDefault="00790F2F" w:rsidP="00790F2F">
      <w:pPr>
        <w:pStyle w:val="BodyText"/>
        <w:ind w:left="0" w:right="260"/>
        <w:rPr>
          <w:rFonts w:asciiTheme="minorHAnsi" w:hAnsiTheme="minorHAnsi" w:cstheme="minorHAnsi"/>
          <w:i w:val="0"/>
          <w:sz w:val="22"/>
          <w:szCs w:val="22"/>
        </w:rPr>
      </w:pPr>
      <w:r w:rsidRPr="00AD6C02">
        <w:rPr>
          <w:rFonts w:asciiTheme="minorHAnsi" w:hAnsiTheme="minorHAnsi" w:cstheme="minorHAnsi"/>
          <w:b/>
          <w:i w:val="0"/>
          <w:sz w:val="22"/>
          <w:szCs w:val="22"/>
          <w:lang w:val="en-GB" w:bidi="en-GB"/>
        </w:rPr>
        <w:t>Note</w:t>
      </w:r>
      <w:r>
        <w:rPr>
          <w:rFonts w:asciiTheme="minorHAnsi" w:hAnsiTheme="minorHAnsi" w:cstheme="minorHAnsi"/>
          <w:i w:val="0"/>
          <w:sz w:val="22"/>
          <w:szCs w:val="22"/>
          <w:lang w:val="en-GB" w:bidi="en-GB"/>
        </w:rPr>
        <w:t xml:space="preserve">: the faculty can choose not to spend the money or not to spend it exclusively on salary costs, such as by using it for the appointment of a PhD candidate, the outsourcing of (part of) the education burden, etc. </w:t>
      </w:r>
      <w:r>
        <w:rPr>
          <w:rFonts w:asciiTheme="minorHAnsi" w:hAnsiTheme="minorHAnsi" w:cstheme="minorHAnsi"/>
          <w:i w:val="0"/>
          <w:sz w:val="22"/>
          <w:szCs w:val="22"/>
          <w:lang w:val="en-GB" w:bidi="en-GB"/>
        </w:rPr>
        <w:br/>
      </w:r>
    </w:p>
    <w:p w14:paraId="53770D3A" w14:textId="77777777" w:rsidR="00790F2F" w:rsidRPr="00687D4E" w:rsidRDefault="00790F2F" w:rsidP="00790F2F">
      <w:pPr>
        <w:pStyle w:val="BodyText"/>
        <w:ind w:left="0" w:right="260"/>
        <w:rPr>
          <w:rFonts w:asciiTheme="minorHAnsi" w:hAnsiTheme="minorHAnsi" w:cstheme="minorHAnsi"/>
          <w:b/>
          <w:sz w:val="22"/>
          <w:szCs w:val="22"/>
        </w:rPr>
      </w:pPr>
      <w:r w:rsidRPr="008848DD">
        <w:rPr>
          <w:rFonts w:asciiTheme="minorHAnsi" w:hAnsiTheme="minorHAnsi" w:cstheme="minorHAnsi"/>
          <w:b/>
          <w:sz w:val="22"/>
          <w:szCs w:val="22"/>
          <w:lang w:val="en-GB" w:bidi="en-GB"/>
        </w:rPr>
        <w:t>The faculty wishes to spend the eligible amount as follows:</w:t>
      </w:r>
    </w:p>
    <w:tbl>
      <w:tblPr>
        <w:tblStyle w:val="TableGrid"/>
        <w:tblW w:w="0" w:type="auto"/>
        <w:tblLook w:val="04A0" w:firstRow="1" w:lastRow="0" w:firstColumn="1" w:lastColumn="0" w:noHBand="0" w:noVBand="1"/>
      </w:tblPr>
      <w:tblGrid>
        <w:gridCol w:w="9062"/>
      </w:tblGrid>
      <w:tr w:rsidR="00790F2F" w:rsidRPr="0097408D" w14:paraId="28E7C554" w14:textId="77777777" w:rsidTr="006936BA">
        <w:tc>
          <w:tcPr>
            <w:tcW w:w="9062" w:type="dxa"/>
          </w:tcPr>
          <w:p w14:paraId="1943433D" w14:textId="77777777" w:rsidR="00790F2F" w:rsidRPr="00687D4E" w:rsidRDefault="00790F2F" w:rsidP="006936BA">
            <w:pPr>
              <w:pStyle w:val="BodyText"/>
              <w:ind w:left="0" w:right="260"/>
              <w:rPr>
                <w:rFonts w:asciiTheme="minorHAnsi" w:hAnsiTheme="minorHAnsi" w:cstheme="minorHAnsi"/>
                <w:i w:val="0"/>
                <w:sz w:val="22"/>
                <w:szCs w:val="22"/>
              </w:rPr>
            </w:pPr>
          </w:p>
          <w:p w14:paraId="4477347B" w14:textId="77777777" w:rsidR="00790F2F" w:rsidRPr="00687D4E" w:rsidRDefault="00790F2F" w:rsidP="006936BA">
            <w:pPr>
              <w:pStyle w:val="BodyText"/>
              <w:ind w:left="0" w:right="260"/>
              <w:rPr>
                <w:rFonts w:asciiTheme="minorHAnsi" w:hAnsiTheme="minorHAnsi" w:cstheme="minorHAnsi"/>
                <w:i w:val="0"/>
                <w:sz w:val="22"/>
                <w:szCs w:val="22"/>
              </w:rPr>
            </w:pPr>
          </w:p>
          <w:p w14:paraId="2C252ACD" w14:textId="77777777" w:rsidR="00790F2F" w:rsidRPr="00687D4E" w:rsidRDefault="00790F2F" w:rsidP="006936BA">
            <w:pPr>
              <w:pStyle w:val="BodyText"/>
              <w:ind w:left="0" w:right="260"/>
              <w:rPr>
                <w:rFonts w:asciiTheme="minorHAnsi" w:hAnsiTheme="minorHAnsi" w:cstheme="minorHAnsi"/>
                <w:i w:val="0"/>
                <w:sz w:val="22"/>
                <w:szCs w:val="22"/>
              </w:rPr>
            </w:pPr>
          </w:p>
        </w:tc>
      </w:tr>
    </w:tbl>
    <w:p w14:paraId="5E89EC99" w14:textId="77777777" w:rsidR="00790F2F" w:rsidRPr="00687D4E" w:rsidRDefault="00790F2F" w:rsidP="00790F2F">
      <w:pPr>
        <w:pStyle w:val="BodyText"/>
        <w:ind w:left="0" w:right="260"/>
        <w:rPr>
          <w:rFonts w:asciiTheme="minorHAnsi" w:hAnsiTheme="minorHAnsi" w:cstheme="minorHAnsi"/>
          <w:i w:val="0"/>
          <w:sz w:val="22"/>
          <w:szCs w:val="22"/>
        </w:rPr>
      </w:pPr>
    </w:p>
    <w:p w14:paraId="6C46958D" w14:textId="77777777" w:rsidR="00790F2F" w:rsidRPr="00687D4E" w:rsidRDefault="00790F2F" w:rsidP="00790F2F">
      <w:pPr>
        <w:pStyle w:val="BodyText"/>
        <w:ind w:left="0" w:right="260"/>
        <w:rPr>
          <w:rFonts w:asciiTheme="minorHAnsi" w:hAnsiTheme="minorHAnsi" w:cstheme="minorHAnsi"/>
          <w:i w:val="0"/>
          <w:sz w:val="22"/>
          <w:szCs w:val="22"/>
        </w:rPr>
      </w:pPr>
    </w:p>
    <w:p w14:paraId="6AE4389B" w14:textId="77777777" w:rsidR="00790F2F" w:rsidRPr="00687D4E" w:rsidRDefault="00790F2F" w:rsidP="00790F2F">
      <w:pPr>
        <w:widowControl/>
        <w:spacing w:after="160" w:line="259" w:lineRule="auto"/>
        <w:rPr>
          <w:rFonts w:cstheme="minorHAnsi"/>
        </w:rPr>
      </w:pPr>
    </w:p>
    <w:p w14:paraId="505C9236" w14:textId="77777777" w:rsidR="00790F2F" w:rsidRPr="00687D4E" w:rsidRDefault="00790F2F" w:rsidP="00790F2F">
      <w:pPr>
        <w:pStyle w:val="BodyText"/>
        <w:ind w:left="0" w:right="260"/>
        <w:rPr>
          <w:rFonts w:asciiTheme="minorHAnsi" w:hAnsiTheme="minorHAnsi" w:cstheme="minorHAnsi"/>
          <w:i w:val="0"/>
          <w:sz w:val="22"/>
          <w:szCs w:val="22"/>
        </w:rPr>
      </w:pPr>
      <w:r>
        <w:rPr>
          <w:rFonts w:asciiTheme="minorHAnsi" w:hAnsiTheme="minorHAnsi" w:cstheme="minorHAnsi"/>
          <w:i w:val="0"/>
          <w:sz w:val="22"/>
          <w:szCs w:val="22"/>
          <w:lang w:val="en-GB" w:bidi="en-GB"/>
        </w:rPr>
        <w:t xml:space="preserve">Send this application, together with the candidate's CV, to </w:t>
      </w:r>
    </w:p>
    <w:p w14:paraId="0A61FDDC" w14:textId="77777777" w:rsidR="00790F2F" w:rsidRPr="00687D4E" w:rsidRDefault="00790F2F" w:rsidP="00790F2F">
      <w:pPr>
        <w:pStyle w:val="BodyText"/>
        <w:ind w:left="0" w:right="260"/>
        <w:rPr>
          <w:rFonts w:asciiTheme="minorHAnsi" w:hAnsiTheme="minorHAnsi" w:cstheme="minorHAnsi"/>
          <w:i w:val="0"/>
          <w:sz w:val="22"/>
          <w:szCs w:val="22"/>
        </w:rPr>
      </w:pPr>
      <w:r>
        <w:rPr>
          <w:rFonts w:asciiTheme="minorHAnsi" w:hAnsiTheme="minorHAnsi" w:cstheme="minorHAnsi"/>
          <w:i w:val="0"/>
          <w:sz w:val="22"/>
          <w:szCs w:val="22"/>
          <w:lang w:val="en-GB" w:bidi="en-GB"/>
        </w:rPr>
        <w:t>Harriët Reker, secretary of the Mohrmann Committee: H.Reker@dpo.ru.nl</w:t>
      </w:r>
    </w:p>
    <w:p w14:paraId="6C548509" w14:textId="77777777" w:rsidR="0054189C" w:rsidRDefault="0054189C" w:rsidP="00790F2F"/>
    <w:sectPr w:rsidR="00541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75F0"/>
    <w:multiLevelType w:val="hybridMultilevel"/>
    <w:tmpl w:val="B99669CC"/>
    <w:lvl w:ilvl="0" w:tplc="15420198">
      <w:start w:val="1"/>
      <w:numFmt w:val="bullet"/>
      <w:lvlText w:val="-"/>
      <w:lvlJc w:val="left"/>
      <w:pPr>
        <w:ind w:left="123" w:hanging="123"/>
      </w:pPr>
      <w:rPr>
        <w:rFonts w:ascii="Arial" w:eastAsia="Arial" w:hAnsi="Arial" w:hint="default"/>
        <w:i/>
        <w:w w:val="99"/>
        <w:sz w:val="20"/>
        <w:szCs w:val="20"/>
      </w:rPr>
    </w:lvl>
    <w:lvl w:ilvl="1" w:tplc="8FFC2BB4">
      <w:start w:val="1"/>
      <w:numFmt w:val="bullet"/>
      <w:lvlText w:val="•"/>
      <w:lvlJc w:val="left"/>
      <w:pPr>
        <w:ind w:left="1146" w:hanging="123"/>
      </w:pPr>
      <w:rPr>
        <w:rFonts w:hint="default"/>
      </w:rPr>
    </w:lvl>
    <w:lvl w:ilvl="2" w:tplc="DE68FB4E">
      <w:start w:val="1"/>
      <w:numFmt w:val="bullet"/>
      <w:lvlText w:val="•"/>
      <w:lvlJc w:val="left"/>
      <w:pPr>
        <w:ind w:left="2053" w:hanging="123"/>
      </w:pPr>
      <w:rPr>
        <w:rFonts w:hint="default"/>
      </w:rPr>
    </w:lvl>
    <w:lvl w:ilvl="3" w:tplc="6F1E2B8C">
      <w:start w:val="1"/>
      <w:numFmt w:val="bullet"/>
      <w:lvlText w:val="•"/>
      <w:lvlJc w:val="left"/>
      <w:pPr>
        <w:ind w:left="2959" w:hanging="123"/>
      </w:pPr>
      <w:rPr>
        <w:rFonts w:hint="default"/>
      </w:rPr>
    </w:lvl>
    <w:lvl w:ilvl="4" w:tplc="255CB690">
      <w:start w:val="1"/>
      <w:numFmt w:val="bullet"/>
      <w:lvlText w:val="•"/>
      <w:lvlJc w:val="left"/>
      <w:pPr>
        <w:ind w:left="3866" w:hanging="123"/>
      </w:pPr>
      <w:rPr>
        <w:rFonts w:hint="default"/>
      </w:rPr>
    </w:lvl>
    <w:lvl w:ilvl="5" w:tplc="4CB6696C">
      <w:start w:val="1"/>
      <w:numFmt w:val="bullet"/>
      <w:lvlText w:val="•"/>
      <w:lvlJc w:val="left"/>
      <w:pPr>
        <w:ind w:left="4773" w:hanging="123"/>
      </w:pPr>
      <w:rPr>
        <w:rFonts w:hint="default"/>
      </w:rPr>
    </w:lvl>
    <w:lvl w:ilvl="6" w:tplc="F09C2BCA">
      <w:start w:val="1"/>
      <w:numFmt w:val="bullet"/>
      <w:lvlText w:val="•"/>
      <w:lvlJc w:val="left"/>
      <w:pPr>
        <w:ind w:left="5679" w:hanging="123"/>
      </w:pPr>
      <w:rPr>
        <w:rFonts w:hint="default"/>
      </w:rPr>
    </w:lvl>
    <w:lvl w:ilvl="7" w:tplc="6430E876">
      <w:start w:val="1"/>
      <w:numFmt w:val="bullet"/>
      <w:lvlText w:val="•"/>
      <w:lvlJc w:val="left"/>
      <w:pPr>
        <w:ind w:left="6586" w:hanging="123"/>
      </w:pPr>
      <w:rPr>
        <w:rFonts w:hint="default"/>
      </w:rPr>
    </w:lvl>
    <w:lvl w:ilvl="8" w:tplc="B8029EDE">
      <w:start w:val="1"/>
      <w:numFmt w:val="bullet"/>
      <w:lvlText w:val="•"/>
      <w:lvlJc w:val="left"/>
      <w:pPr>
        <w:ind w:left="7493" w:hanging="123"/>
      </w:pPr>
      <w:rPr>
        <w:rFonts w:hint="default"/>
      </w:rPr>
    </w:lvl>
  </w:abstractNum>
  <w:abstractNum w:abstractNumId="1" w15:restartNumberingAfterBreak="0">
    <w:nsid w:val="63075CD0"/>
    <w:multiLevelType w:val="hybridMultilevel"/>
    <w:tmpl w:val="6D78180E"/>
    <w:lvl w:ilvl="0" w:tplc="F1FE2ED0">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num w:numId="1" w16cid:durableId="1540623410">
    <w:abstractNumId w:val="0"/>
  </w:num>
  <w:num w:numId="2" w16cid:durableId="77490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2F"/>
    <w:rsid w:val="0000601A"/>
    <w:rsid w:val="001F570E"/>
    <w:rsid w:val="0054189C"/>
    <w:rsid w:val="00687D4E"/>
    <w:rsid w:val="0073394E"/>
    <w:rsid w:val="00790F2F"/>
    <w:rsid w:val="0097408D"/>
    <w:rsid w:val="00A904B8"/>
    <w:rsid w:val="00EF6A4A"/>
    <w:rsid w:val="00F5749E"/>
    <w:rsid w:val="00F8209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7F66"/>
  <w15:chartTrackingRefBased/>
  <w15:docId w15:val="{3B4594F1-E8C2-414A-87E7-D54CF172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0F2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0F2F"/>
    <w:pPr>
      <w:ind w:left="231"/>
    </w:pPr>
    <w:rPr>
      <w:rFonts w:ascii="Arial" w:eastAsia="Arial" w:hAnsi="Arial"/>
      <w:i/>
      <w:sz w:val="20"/>
      <w:szCs w:val="20"/>
    </w:rPr>
  </w:style>
  <w:style w:type="character" w:customStyle="1" w:styleId="BodyTextChar">
    <w:name w:val="Body Text Char"/>
    <w:basedOn w:val="DefaultParagraphFont"/>
    <w:link w:val="BodyText"/>
    <w:uiPriority w:val="1"/>
    <w:rsid w:val="00790F2F"/>
    <w:rPr>
      <w:rFonts w:ascii="Arial" w:eastAsia="Arial" w:hAnsi="Arial"/>
      <w:i/>
      <w:sz w:val="20"/>
      <w:szCs w:val="20"/>
      <w:lang w:val="en-US"/>
    </w:rPr>
  </w:style>
  <w:style w:type="paragraph" w:styleId="ListParagraph">
    <w:name w:val="List Paragraph"/>
    <w:basedOn w:val="Normal"/>
    <w:uiPriority w:val="1"/>
    <w:qFormat/>
    <w:rsid w:val="00790F2F"/>
  </w:style>
  <w:style w:type="table" w:styleId="TableGrid">
    <w:name w:val="Table Grid"/>
    <w:basedOn w:val="TableNormal"/>
    <w:uiPriority w:val="39"/>
    <w:rsid w:val="0079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2644</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Radboud Universiteit Nijmegen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Reker, H.J.L. (Harriët)</dc:creator>
  <cp:keywords/>
  <dc:description/>
  <cp:lastModifiedBy>Bierhaalder Valk, L. (Lisa)</cp:lastModifiedBy>
  <cp:revision>2</cp:revision>
  <dcterms:created xsi:type="dcterms:W3CDTF">2023-12-07T14:55:00Z</dcterms:created>
  <dcterms:modified xsi:type="dcterms:W3CDTF">2023-12-07T14:55:00Z</dcterms:modified>
</cp:coreProperties>
</file>