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CB2D" w14:textId="77777777" w:rsidR="00C93BCC" w:rsidRPr="0096554D" w:rsidRDefault="00C93BCC" w:rsidP="00C93BCC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32B67ED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1E2C39B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1AE41B9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2C8DE93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380FDC8" w14:textId="77777777" w:rsidR="0075573A" w:rsidRDefault="0075573A" w:rsidP="0075573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1-jarige Master Begeleide Stage</w:t>
      </w:r>
    </w:p>
    <w:p w14:paraId="5B38065E" w14:textId="77777777" w:rsidR="00C93BCC" w:rsidRPr="00323258" w:rsidRDefault="00C93BCC" w:rsidP="00C93BC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Begeleide </w:t>
      </w:r>
      <w:r w:rsidRPr="00323258">
        <w:rPr>
          <w:sz w:val="24"/>
          <w:szCs w:val="24"/>
        </w:rPr>
        <w:t xml:space="preserve">Stage </w:t>
      </w:r>
      <w:r>
        <w:rPr>
          <w:sz w:val="24"/>
          <w:szCs w:val="24"/>
        </w:rPr>
        <w:t>2</w:t>
      </w:r>
    </w:p>
    <w:p w14:paraId="2B3178AB" w14:textId="3033063A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3082A834" w14:textId="4AC0AD43" w:rsidR="0095436D" w:rsidRDefault="0095436D" w:rsidP="0095436D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Bij deze beoordeling gelden 30 van de 32 criteria uit het volledige beoordelingsformulier, op Streefniveau 2. </w:t>
      </w:r>
    </w:p>
    <w:p w14:paraId="0C041DF8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53CA89C6" w14:textId="77777777" w:rsidR="00C93BCC" w:rsidRPr="0096554D" w:rsidRDefault="00C93BCC" w:rsidP="00C93BCC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1C144620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50D30141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49E40D54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4CE02CE0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4F2673A7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BE0DBE8" wp14:editId="2C613956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2FA530" w14:textId="57839008" w:rsidR="00C93BCC" w:rsidRDefault="00C93BCC" w:rsidP="00C93BCC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p w14:paraId="5CB3438F" w14:textId="6433B664" w:rsidR="0095436D" w:rsidRDefault="0095436D"/>
    <w:tbl>
      <w:tblPr>
        <w:tblStyle w:val="TableGridLight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402"/>
      </w:tblGrid>
      <w:tr w:rsidR="00917E03" w:rsidRPr="00886873" w14:paraId="19832F68" w14:textId="77777777" w:rsidTr="00E67BA8">
        <w:tc>
          <w:tcPr>
            <w:tcW w:w="2836" w:type="dxa"/>
            <w:tcBorders>
              <w:bottom w:val="single" w:sz="4" w:space="0" w:color="auto"/>
            </w:tcBorders>
          </w:tcPr>
          <w:p w14:paraId="0DCDDBDA" w14:textId="4DB610E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D77EA9A" w14:textId="7777777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6FD675" w14:textId="77777777" w:rsidR="00917E03" w:rsidRPr="00886873" w:rsidRDefault="00917E03" w:rsidP="00917E03">
            <w:pPr>
              <w:spacing w:after="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6873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886873" w14:paraId="1B9B0DFE" w14:textId="77777777" w:rsidTr="00D5515A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E67A5" w14:textId="7777777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917E03" w:rsidRPr="00886873" w14:paraId="44EB8FE3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749614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AE37B5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0EAA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E07" w:rsidRPr="00886873" w14:paraId="35489992" w14:textId="77777777" w:rsidTr="00E67BA8">
        <w:trPr>
          <w:trHeight w:val="125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BC252" w14:textId="77777777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45A88E0" w14:textId="246D3B90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doet hieruit ideeën op om het eigen handelen te verbeteren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41BEFC" w14:textId="77777777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5BF0522F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384F94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51BCEE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C9B9F9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0D76762D" w14:textId="77777777" w:rsidTr="00E67BA8">
        <w:trPr>
          <w:trHeight w:val="125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8DAEEA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7C18AE" w14:textId="42E840FC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benoemt en bespreekt deze met begeleiders in de school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46CBA49A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3E89BC9A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A041BD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06BBA3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593D1A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18B5D92C" w14:textId="77777777" w:rsidTr="00E67BA8">
        <w:trPr>
          <w:trHeight w:val="156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153597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9B5ACEF" w14:textId="69916907" w:rsidR="00886873" w:rsidRPr="00886873" w:rsidRDefault="00CC5606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Ziet leerlingen, collega’s en </w:t>
            </w:r>
            <w:r w:rsidR="009A1F00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bservaties als bronnen van </w:t>
            </w:r>
            <w:r w:rsidR="009A1F00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nformatie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verzamelt hierbij gericht informatie vanuit eigen leervragen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9B826D1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61B16D53" w14:textId="77777777" w:rsidTr="001F165D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93E23" w14:textId="77777777" w:rsidR="00177908" w:rsidRPr="00886873" w:rsidRDefault="00177908" w:rsidP="00177908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177908" w:rsidRPr="00886873" w14:paraId="3F192933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BBF439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951E33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6F27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077B8A8F" w14:textId="77777777" w:rsidTr="00E67BA8">
        <w:trPr>
          <w:trHeight w:val="1008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4E50EF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E83BEA3" w14:textId="27726EA0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is zich hierbij bewust van mogelijke vooroordelen, aannames</w:t>
            </w:r>
            <w:r w:rsidR="00F244C9">
              <w:rPr>
                <w:rFonts w:ascii="Calibri Light" w:hAnsi="Calibri Light" w:cs="Calibri Light"/>
                <w:sz w:val="24"/>
                <w:szCs w:val="24"/>
              </w:rPr>
              <w:t xml:space="preserve">, eigen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ervaringen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353694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2BF82B09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7F4BAB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86B00C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(6) Stemt pedagogisch handelen af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C766E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736BA5E3" w14:textId="77777777" w:rsidTr="00E67BA8">
        <w:trPr>
          <w:trHeight w:val="1001"/>
        </w:trPr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97C046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AB82C9F" w14:textId="60EED8B5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Bespreekt het eigen pedagogisch handelen met collega’s,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staat daarbij open voor suggesties van</w:t>
            </w:r>
            <w:r w:rsidR="00E67BA8">
              <w:rPr>
                <w:rFonts w:ascii="Calibri Light" w:hAnsi="Calibri Light" w:cs="Calibri Light"/>
                <w:sz w:val="24"/>
                <w:szCs w:val="24"/>
              </w:rPr>
              <w:t xml:space="preserve"> hen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94BEE1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21EEB3E6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1BD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2BD545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(7) Neemt deel aan de schoolorganisatie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18816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16BE7C3F" w14:textId="77777777" w:rsidTr="00E67BA8">
        <w:trPr>
          <w:trHeight w:val="1478"/>
        </w:trPr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78346D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802A70" w14:textId="773C3A16" w:rsidR="00886873" w:rsidRPr="00886873" w:rsidRDefault="00F244C9" w:rsidP="00F244C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Voert les-gebonden taken uit</w:t>
            </w:r>
            <w:r w:rsidR="002A0C2F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en neemt deel aan </w:t>
            </w:r>
            <w:r w:rsidR="00CC5606" w:rsidRPr="002932C8">
              <w:rPr>
                <w:rFonts w:ascii="Calibri Light" w:hAnsi="Calibri Light" w:cs="Calibri Light"/>
                <w:sz w:val="24"/>
                <w:szCs w:val="24"/>
              </w:rPr>
              <w:t xml:space="preserve">niet-les gebonden activiteiten </w:t>
            </w:r>
            <w:r>
              <w:rPr>
                <w:rFonts w:ascii="Calibri Light" w:hAnsi="Calibri Light" w:cs="Calibri Light"/>
                <w:sz w:val="24"/>
                <w:szCs w:val="24"/>
              </w:rPr>
              <w:t>met leerlingen en/of ouders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E8F9A8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4B14B0A" w14:textId="77777777" w:rsidR="0083368D" w:rsidRDefault="0083368D"/>
    <w:p w14:paraId="4098836B" w14:textId="77777777" w:rsidR="003001F8" w:rsidRPr="003001F8" w:rsidRDefault="003001F8" w:rsidP="003001F8">
      <w:pPr>
        <w:spacing w:after="0" w:line="240" w:lineRule="auto"/>
      </w:pPr>
    </w:p>
    <w:p w14:paraId="35F66FF8" w14:textId="77777777" w:rsidR="007C7645" w:rsidRDefault="007C7645" w:rsidP="007C7645">
      <w:pPr>
        <w:spacing w:after="0" w:line="240" w:lineRule="auto"/>
        <w:rPr>
          <w:i/>
        </w:rPr>
      </w:pPr>
    </w:p>
    <w:p w14:paraId="4A325D9A" w14:textId="77777777" w:rsidR="00886873" w:rsidRDefault="00886873" w:rsidP="007C7645">
      <w:pPr>
        <w:spacing w:after="0" w:line="240" w:lineRule="auto"/>
        <w:rPr>
          <w:i/>
        </w:rPr>
      </w:pPr>
    </w:p>
    <w:p w14:paraId="093DB4FD" w14:textId="77777777" w:rsidR="00886873" w:rsidRDefault="00886873" w:rsidP="007C7645">
      <w:pPr>
        <w:spacing w:after="0" w:line="240" w:lineRule="auto"/>
        <w:rPr>
          <w:i/>
        </w:rPr>
      </w:pPr>
    </w:p>
    <w:p w14:paraId="1F5511CC" w14:textId="77777777" w:rsidR="00886873" w:rsidRDefault="00886873" w:rsidP="007C7645">
      <w:pPr>
        <w:spacing w:after="0" w:line="240" w:lineRule="auto"/>
        <w:rPr>
          <w:i/>
        </w:rPr>
      </w:pPr>
    </w:p>
    <w:p w14:paraId="1D988851" w14:textId="159E5F1F" w:rsidR="00CC5606" w:rsidRDefault="00CC5606">
      <w:pPr>
        <w:rPr>
          <w:i/>
        </w:rPr>
      </w:pPr>
      <w:r>
        <w:rPr>
          <w:i/>
        </w:rP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3260"/>
      </w:tblGrid>
      <w:tr w:rsidR="00917E03" w:rsidRPr="006F75D7" w14:paraId="4FDB0E1D" w14:textId="77777777" w:rsidTr="00917E03">
        <w:tc>
          <w:tcPr>
            <w:tcW w:w="3119" w:type="dxa"/>
            <w:tcBorders>
              <w:bottom w:val="single" w:sz="4" w:space="0" w:color="auto"/>
            </w:tcBorders>
          </w:tcPr>
          <w:p w14:paraId="7FB250A8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CD36F0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C18368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6F75D7" w14:paraId="5BD27FC7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94681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6F75D7" w14:paraId="264DED3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CE8FC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02D069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01FCD9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6C38B3AA" w14:textId="77777777" w:rsidTr="0038070A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9255C3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6F0DA35" w14:textId="0E0726D5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Ziet het effect van de eigen manier van communiceren op leerlingen, en past de eigen manier van communiceren daarop aan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0EFD7DA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92EFFB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51690F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38384C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478E6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6DE3311D" w14:textId="77777777" w:rsidTr="00A83C61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1532D3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74BA199" w14:textId="7FD73616" w:rsidR="00886873" w:rsidRPr="006F75D7" w:rsidRDefault="00CC5606" w:rsidP="00CC56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50707B">
              <w:rPr>
                <w:rFonts w:asciiTheme="majorHAnsi" w:hAnsiTheme="majorHAnsi" w:cstheme="majorHAnsi"/>
                <w:sz w:val="24"/>
                <w:szCs w:val="24"/>
              </w:rPr>
              <w:t>ziet en benut momenten om hierop invloed uit te oefenen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B830EFE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564BFECA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E015B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AD711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D8128A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272CB86" w14:textId="77777777" w:rsidTr="00D11B45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7A703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309A5E" w14:textId="2ED3CA5D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Zoekt naar manieren om gewenst gedrag van leerlingen te bevorderen, en corrigeert ongewenst gedrag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39EE98F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CB75DC7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F68C7A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7F20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8C9185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3C46528" w14:textId="77777777" w:rsidTr="00BC0A5C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95798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65038A" w14:textId="436E7572" w:rsidR="00886873" w:rsidRPr="006F75D7" w:rsidRDefault="00F244C9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op, en s</w:t>
            </w:r>
            <w:r w:rsidR="00886873"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ignaleert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gewenste en </w:t>
            </w:r>
            <w:r w:rsidR="00886873" w:rsidRPr="006F75D7">
              <w:rPr>
                <w:rFonts w:asciiTheme="majorHAnsi" w:hAnsiTheme="majorHAnsi" w:cstheme="majorHAnsi"/>
                <w:sz w:val="24"/>
                <w:szCs w:val="24"/>
              </w:rPr>
              <w:t>ongewenste groepsprocessen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445C5DC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F3A4BA0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69A05F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6F75D7" w14:paraId="09F784A0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7447A3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ED24A3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354C2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709F50C" w14:textId="77777777" w:rsidTr="00886873">
        <w:trPr>
          <w:trHeight w:val="69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A7A232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066194" w14:textId="59AC4A0B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maken, en ziet wat er speelt bij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A7011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4C79B99B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0AA207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F6CA1F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4F077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1B1E5C4" w14:textId="77777777" w:rsidTr="00A8162D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D247DF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21C2AAD" w14:textId="2941BAE9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inbreng, en erkent het perspectief van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E01A5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491EAEBD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86D5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1773FB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921B4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524BFE00" w14:textId="77777777" w:rsidTr="007D3E9B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252EA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4D3B512" w14:textId="1C4A6CB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Praat met leerlingen over school, leren en hun prestaties, en over hun verdere ontwikkeling en hun interesses, ervaringen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D65A1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358697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5C1C6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BA12BB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D40B6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03477A79" w14:textId="77777777" w:rsidTr="00886873">
        <w:trPr>
          <w:trHeight w:val="930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1B41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C94D6D" w14:textId="7059EA30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werk, en stimuleert leerlingen om het eigen werk te plannen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AC2D02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25600E49" w14:textId="77777777" w:rsidTr="00886873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82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0A228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(9) Speelt in op verschillen in sociaal-emotionele ontwikkeling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CAA5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140288A5" w14:textId="77777777" w:rsidTr="00886873">
        <w:trPr>
          <w:trHeight w:val="1423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10C109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CA7127" w14:textId="146E5F9E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Herleidt gedrag soms tot sociaal-emotionele ontwikkeling van leerlingen, en signaleert en benoemt verschillen tussen leerlingen qua sociaal-emotionele ontwikkeling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63BAD0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040D591" w14:textId="77777777" w:rsidR="00917E03" w:rsidRDefault="00917E03"/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402"/>
      </w:tblGrid>
      <w:tr w:rsidR="00917E03" w:rsidRPr="006F75D7" w14:paraId="40A2A2E0" w14:textId="77777777" w:rsidTr="00E67BA8">
        <w:tc>
          <w:tcPr>
            <w:tcW w:w="3119" w:type="dxa"/>
            <w:tcBorders>
              <w:bottom w:val="single" w:sz="4" w:space="0" w:color="auto"/>
            </w:tcBorders>
          </w:tcPr>
          <w:p w14:paraId="54ADF0AA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F69F1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4246CB" w14:textId="77777777" w:rsidR="00917E03" w:rsidRPr="006F75D7" w:rsidRDefault="00917E03" w:rsidP="00917E03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6F75D7" w14:paraId="630EAADF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F5001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BD0E08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01050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C1E18D8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BE16B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B0F73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0C90D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19F36FD" w14:textId="77777777" w:rsidTr="00E67BA8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ABF6E6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52BCCFF" w14:textId="35B4B393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leerdoelen, en formuleert zelf concrete en specifieke leerdoelen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7C63F447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01C75DD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0D50AA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DC71E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ABDB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5709F580" w14:textId="77777777" w:rsidTr="00E67BA8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E26019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D8D7D7D" w14:textId="46305334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Kiest leeractiviteiten en werkvormen, en stemt deze af op de leerdoelen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18141F85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77160B6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1C149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4E4CE1" w14:textId="41DF07E4" w:rsidR="00917E03" w:rsidRPr="006F75D7" w:rsidRDefault="00CC5606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Pr="00C447BE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E828C8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B1486E6" w14:textId="77777777" w:rsidTr="00E67BA8">
        <w:trPr>
          <w:trHeight w:val="89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982113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39B298" w14:textId="58BDBB94" w:rsidR="00886873" w:rsidRPr="006F75D7" w:rsidRDefault="00CC5606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signaleert hoe dit interactie beperkt en mogelijk maakt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568518C8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90CF78A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88020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32D7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251E6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8F332E8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814EF6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BF0770" w14:textId="13E90CD6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les, en tussen opeenvolgende lessen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638D25E2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14819688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4C605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DA28F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31FB47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C8F3F19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789AAD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D2AC5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BEF3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ACCA1FD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4A595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C011693" w14:textId="6378ED01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Geeft begrijpelijke instructies, en zorgt daarmee dat leerlingen weten wat van hen verwacht wordt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F040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1C1E2BE8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6F3F7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E2F99E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1B7B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F014176" w14:textId="77777777" w:rsidTr="00E67BA8">
        <w:trPr>
          <w:trHeight w:val="116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871E2D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69D7558" w14:textId="0D467811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gebruiken, en probeert wisselmomenten en les- overgangen efficiënt te laten verlopen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985F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27AA7C5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393A9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8A5E7F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(7) Activeert leerlingen, ook als leerbron voor elkaar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F04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200F97E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71ACDD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017326" w14:textId="3861715B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Zet werkvormen in die (</w:t>
            </w:r>
            <w:proofErr w:type="spellStart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inter</w:t>
            </w:r>
            <w:proofErr w:type="spellEnd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)actief leren stimuleren, en stelt hierbij vragen en geeft taken die leerlingen tot nadenken aanzetten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AB62FA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38474B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D76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5876EB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(8) Stemt af op verschillen in beheersing van de lesstof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6E10D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A3A8C8D" w14:textId="77777777" w:rsidTr="00E67BA8">
        <w:trPr>
          <w:trHeight w:val="90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F0EEF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6CE155" w14:textId="0E066F03" w:rsidR="00886873" w:rsidRPr="006F75D7" w:rsidRDefault="00CC5606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Ziet verschillen tussen leerlingen qua tempo en beheersing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speelt ad hoc op deze verschillen in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0D531E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32ED15E" w14:textId="77777777" w:rsidR="00763832" w:rsidRDefault="00763832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402"/>
      </w:tblGrid>
      <w:tr w:rsidR="006D05A3" w:rsidRPr="006F75D7" w14:paraId="445C4296" w14:textId="77777777" w:rsidTr="00E67BA8">
        <w:tc>
          <w:tcPr>
            <w:tcW w:w="3119" w:type="dxa"/>
            <w:tcBorders>
              <w:bottom w:val="single" w:sz="4" w:space="0" w:color="auto"/>
            </w:tcBorders>
          </w:tcPr>
          <w:p w14:paraId="7622DC4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6AC8B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A41F94" w14:textId="77777777" w:rsidR="006D05A3" w:rsidRPr="006F75D7" w:rsidRDefault="006D05A3" w:rsidP="006D05A3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D05A3" w:rsidRPr="006F75D7" w14:paraId="75578FC1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735BD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64D46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F42E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3F5DD56E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E38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4EF0E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7DBA3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00911E5" w14:textId="77777777" w:rsidTr="00E67BA8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D1A3B2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E81A91F" w14:textId="569F11B5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begrijpen, en of zij de lesdoelen bereiken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F41F2B7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2A702FD5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007FF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3A17A5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AA0AE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BC4E614" w14:textId="77777777" w:rsidTr="00E67BA8">
        <w:trPr>
          <w:trHeight w:val="142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E7CCE8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3ACA18B" w14:textId="2F773162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concept-context), en zoekt naar onderbouwing van deze keuzes vanuit praktijkkennis en theorie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0BE335B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26F329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BB53B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86C9FA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(12) Toetst leeruitkomsten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FF4E6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14C5048A" w14:textId="77777777" w:rsidTr="00E67BA8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EF5742B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768C3C" w14:textId="1F1FE044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Gebruikt gegeven toetsen en correctie modellen (collega's, schoolboek), en </w:t>
            </w:r>
            <w:r w:rsidR="00E67BA8">
              <w:rPr>
                <w:rFonts w:asciiTheme="majorHAnsi" w:hAnsiTheme="majorHAnsi" w:cstheme="majorHAnsi"/>
                <w:sz w:val="24"/>
                <w:szCs w:val="24"/>
              </w:rPr>
              <w:t>signaleert verbetermogelijkheden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3EEA1E1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2620614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BE6C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E0D5BB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(13) Signaleert leermoeilijkheden in het vak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74295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0265D6CD" w14:textId="77777777" w:rsidTr="00E67BA8">
        <w:trPr>
          <w:trHeight w:val="142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5901EA1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4F3FFDF" w14:textId="23DCD9C5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Neemt kennis van leermoeilijkheden van leerlingen in het schoolvak, en signaleert deze bij het voorbereiden, uitvoeren en/of evalueren van onderwijsactiviteiten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7FABF1BD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1CB74A2E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EE22C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B82D5E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B1452B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0ACFEFF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A58C1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FC563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</w:t>
            </w:r>
            <w:proofErr w:type="spellStart"/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vakinhoud</w:t>
            </w:r>
            <w:proofErr w:type="spellEnd"/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C86E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69DA73F6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BF7113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661CA15" w14:textId="6A9B1DED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Gebruikt de methode als leidraad, en voegt vak inhoud toe, (actualiteit, voorbeelden, toepassingen, verrijking)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25BD9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461196F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9FA64A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BB63BD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E111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08A08799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2B46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BADB38" w14:textId="5BD7F240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leerstof, en verbindt dit met de leef- en belevingswereld van leerlingen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78D56C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00B054CD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7EB9B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6B595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FFC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2DCB17D4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D1B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E1D3DD" w14:textId="06756356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Verkent de eigen visie op de inhoud en didactiek van het </w:t>
            </w:r>
            <w:proofErr w:type="spellStart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schoolvak,en</w:t>
            </w:r>
            <w:proofErr w:type="spellEnd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 relateert deze aan de visie van de vaksectie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89AD53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35DEF37" w14:textId="77777777" w:rsidR="00E41FF5" w:rsidRDefault="00E41FF5"/>
    <w:sectPr w:rsidR="00E41FF5" w:rsidSect="003E4530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FC0A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5E8E564A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EA99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162B816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28E15B01" w14:textId="77777777" w:rsidR="00C93BCC" w:rsidRPr="0059494B" w:rsidRDefault="00C93BCC" w:rsidP="00C93BCC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686D0922" w14:textId="77777777" w:rsidR="00C93BCC" w:rsidRPr="0059494B" w:rsidRDefault="00C93BCC" w:rsidP="00C93B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FAE9" w14:textId="31755AF1" w:rsidR="00C93BCC" w:rsidRPr="00323258" w:rsidRDefault="007B1F36" w:rsidP="00CC6639">
    <w:pPr>
      <w:pStyle w:val="Header"/>
      <w:rPr>
        <w:sz w:val="24"/>
        <w:lang w:val="en-US"/>
      </w:rPr>
    </w:pPr>
    <w:r>
      <w:rPr>
        <w:sz w:val="24"/>
        <w:lang w:val="en-US"/>
      </w:rPr>
      <w:t>Single Point Rubric Stage Radboud Docenten Academie 202</w:t>
    </w:r>
    <w:r w:rsidR="00272BBC">
      <w:rPr>
        <w:sz w:val="24"/>
        <w:lang w:val="en-US"/>
      </w:rPr>
      <w:t>4</w:t>
    </w:r>
    <w:r>
      <w:rPr>
        <w:sz w:val="24"/>
        <w:lang w:val="en-US"/>
      </w:rPr>
      <w:t>-202</w:t>
    </w:r>
    <w:r w:rsidR="00272BBC">
      <w:rPr>
        <w:sz w:val="24"/>
        <w:lang w:val="en-US"/>
      </w:rPr>
      <w:t>5</w:t>
    </w:r>
    <w:r>
      <w:rPr>
        <w:sz w:val="24"/>
        <w:lang w:val="en-US"/>
      </w:rPr>
      <w:t xml:space="preserve"> </w:t>
    </w:r>
    <w:r w:rsidR="00CC6639">
      <w:rPr>
        <w:sz w:val="24"/>
        <w:lang w:val="en-US"/>
      </w:rPr>
      <w:t xml:space="preserve">– </w:t>
    </w:r>
    <w:proofErr w:type="spellStart"/>
    <w:r w:rsidR="00C93BCC">
      <w:rPr>
        <w:sz w:val="24"/>
        <w:lang w:val="en-US"/>
      </w:rPr>
      <w:t>Streefniveau</w:t>
    </w:r>
    <w:proofErr w:type="spellEnd"/>
    <w:r w:rsidR="00C93BCC">
      <w:rPr>
        <w:sz w:val="24"/>
        <w:lang w:val="en-US"/>
      </w:rPr>
      <w:t xml:space="preserve"> 2</w:t>
    </w:r>
  </w:p>
  <w:p w14:paraId="7AE647C9" w14:textId="2D38D2F6" w:rsidR="00763832" w:rsidRPr="00C93BCC" w:rsidRDefault="00763832" w:rsidP="00C93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770847">
    <w:abstractNumId w:val="0"/>
  </w:num>
  <w:num w:numId="2" w16cid:durableId="6077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6115F"/>
    <w:rsid w:val="00177908"/>
    <w:rsid w:val="00272BBC"/>
    <w:rsid w:val="0027600F"/>
    <w:rsid w:val="0029783C"/>
    <w:rsid w:val="002A0C2F"/>
    <w:rsid w:val="003001F8"/>
    <w:rsid w:val="003E4530"/>
    <w:rsid w:val="004B6FCC"/>
    <w:rsid w:val="0050707B"/>
    <w:rsid w:val="0059494B"/>
    <w:rsid w:val="005D7106"/>
    <w:rsid w:val="00610E07"/>
    <w:rsid w:val="006A7D1C"/>
    <w:rsid w:val="006D05A3"/>
    <w:rsid w:val="006D38AD"/>
    <w:rsid w:val="006F75D7"/>
    <w:rsid w:val="00703591"/>
    <w:rsid w:val="0075573A"/>
    <w:rsid w:val="00763832"/>
    <w:rsid w:val="007B1F36"/>
    <w:rsid w:val="007C7645"/>
    <w:rsid w:val="007F744C"/>
    <w:rsid w:val="0083368D"/>
    <w:rsid w:val="00850194"/>
    <w:rsid w:val="00886873"/>
    <w:rsid w:val="00917E03"/>
    <w:rsid w:val="0095436D"/>
    <w:rsid w:val="009572A6"/>
    <w:rsid w:val="009A1F00"/>
    <w:rsid w:val="009F5B96"/>
    <w:rsid w:val="00A51F3C"/>
    <w:rsid w:val="00C93BCC"/>
    <w:rsid w:val="00CC5606"/>
    <w:rsid w:val="00CC6639"/>
    <w:rsid w:val="00CE4B34"/>
    <w:rsid w:val="00D36AAA"/>
    <w:rsid w:val="00E25C9F"/>
    <w:rsid w:val="00E41FF5"/>
    <w:rsid w:val="00E67BA8"/>
    <w:rsid w:val="00EF7E31"/>
    <w:rsid w:val="00F244C9"/>
    <w:rsid w:val="00FA2289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4971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B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3BC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9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1AB9-F756-4D88-A4A0-4CC41D9B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Krosse, H.A.T. de (Hedwig)</cp:lastModifiedBy>
  <cp:revision>3</cp:revision>
  <dcterms:created xsi:type="dcterms:W3CDTF">2024-06-04T16:13:00Z</dcterms:created>
  <dcterms:modified xsi:type="dcterms:W3CDTF">2024-06-04T16:15:00Z</dcterms:modified>
</cp:coreProperties>
</file>