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B08" w14:textId="77777777" w:rsidR="00C447BE" w:rsidRPr="0096554D" w:rsidRDefault="00C447BE" w:rsidP="00C447B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bookmarkStart w:id="0" w:name="_Hlk81402067"/>
      <w:r w:rsidRPr="0096554D">
        <w:rPr>
          <w:b/>
          <w:sz w:val="28"/>
          <w:szCs w:val="28"/>
        </w:rPr>
        <w:t>Oriënteren op de stagebeoordeling met een Single Point Rubric</w:t>
      </w:r>
    </w:p>
    <w:p w14:paraId="06AD40C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3F9A776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>e Single Point Rubric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rubric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>Deze Single Point Rubric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3E32F8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5DA29BEA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4AF445D" w14:textId="77777777" w:rsidR="000F2EE5" w:rsidRDefault="000F2EE5" w:rsidP="000F2EE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1-jarige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>Stage</w:t>
      </w:r>
    </w:p>
    <w:p w14:paraId="43665D42" w14:textId="77777777" w:rsidR="00C447BE" w:rsidRPr="00323258" w:rsidRDefault="00C447BE" w:rsidP="00C447B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 xml:space="preserve">Stage </w:t>
      </w:r>
      <w:r>
        <w:rPr>
          <w:sz w:val="24"/>
          <w:szCs w:val="24"/>
        </w:rPr>
        <w:t>2</w:t>
      </w:r>
    </w:p>
    <w:p w14:paraId="23EAF3CB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6296CF1" w14:textId="3014AAD8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Bij deze beoordeling is het streefniveau 4 voor alle criteria. Daarom bevat deze Single Point Rubric alle criteria en niveaus die ook in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>Stages staan.</w:t>
      </w:r>
    </w:p>
    <w:p w14:paraId="653085F8" w14:textId="11905DA1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A64977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4E452454" w14:textId="77777777" w:rsidR="00C447BE" w:rsidRPr="0096554D" w:rsidRDefault="00C447BE" w:rsidP="00C447BE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>een Single Point Rubric?</w:t>
      </w:r>
    </w:p>
    <w:p w14:paraId="4D8F8EF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Het Beoordelingsformulier Stages bevat een analytische rubric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rubric overweldigend zijn. </w:t>
      </w:r>
    </w:p>
    <w:p w14:paraId="176D965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22E63C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Rubric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28B7662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ED7706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2A7B10" wp14:editId="63C008F3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FF6DF7" w14:textId="77777777" w:rsidR="00C447BE" w:rsidRDefault="00C447BE" w:rsidP="00C447BE">
      <w:pPr>
        <w:pStyle w:val="Subtitle"/>
      </w:pPr>
      <w:r>
        <w:lastRenderedPageBreak/>
        <w:t>Figuur 1: Voorbeeld van een Single-Point Rubric</w:t>
      </w:r>
    </w:p>
    <w:bookmarkEnd w:id="0"/>
    <w:p w14:paraId="21812C97" w14:textId="77777777" w:rsidR="009572A6" w:rsidRDefault="009572A6" w:rsidP="009572A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3"/>
        <w:gridCol w:w="3260"/>
      </w:tblGrid>
      <w:tr w:rsidR="00917E03" w:rsidRPr="00A438B9" w14:paraId="36416B11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53C81585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Aandachtspunt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EE72E6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BAA463" w14:textId="77777777" w:rsidR="00917E03" w:rsidRPr="00A438B9" w:rsidRDefault="00917E03" w:rsidP="00681FF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72F77E31" w14:textId="77777777" w:rsidTr="00EE579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543D2" w14:textId="77777777" w:rsidR="00917E03" w:rsidRPr="00A438B9" w:rsidRDefault="00917E03" w:rsidP="00681FF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681FF8" w:rsidRPr="00A438B9" w14:paraId="06760519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112C4" w14:textId="77777777" w:rsidR="00681FF8" w:rsidRPr="00A438B9" w:rsidRDefault="00681FF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29B182" w14:textId="77777777" w:rsidR="00681FF8" w:rsidRPr="00A438B9" w:rsidRDefault="00681FF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8BACEF" w14:textId="77777777" w:rsidR="00681FF8" w:rsidRPr="00A438B9" w:rsidRDefault="00681FF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11C4E90B" w14:textId="77777777" w:rsidTr="00EE5793">
        <w:trPr>
          <w:trHeight w:val="157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E535D" w14:textId="77777777" w:rsidR="00FC775B" w:rsidRPr="00A438B9" w:rsidRDefault="00FC775B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FFEC31" w14:textId="0666B2ED" w:rsidR="00FC775B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doet hieruit ideeën op om het eigen handelen te verbeteren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ontwikkelt hiermee inzicht in onderliggende mechanismen en processen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zoekt zelfstandig naar bronnen vanuit eigen leervragen.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14F9ED" w14:textId="77777777" w:rsidR="00FC775B" w:rsidRPr="00A438B9" w:rsidRDefault="00FC775B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438B9" w14:paraId="52D3E2E5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D0CDC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20CC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E19E3" w14:textId="77777777" w:rsidR="00177908" w:rsidRPr="00A438B9" w:rsidRDefault="0017790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A438B9" w14:paraId="7BFF46CB" w14:textId="77777777" w:rsidTr="00EE5793">
        <w:trPr>
          <w:trHeight w:val="1252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44555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31A47D6" w14:textId="49471CCD" w:rsidR="002932C8" w:rsidRPr="002932C8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benoemt en bespreekt deze met begeleiders in de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14:paraId="4242B05D" w14:textId="77777777" w:rsidR="002932C8" w:rsidRPr="002932C8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evalueert met hen de effectiviteit van het eigen leren (en signaleert zo </w:t>
            </w:r>
          </w:p>
          <w:p w14:paraId="1374AE8A" w14:textId="09592609" w:rsidR="002932C8" w:rsidRPr="002932C8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nodig problemen en belemmeringen)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14:paraId="6FCA3FB4" w14:textId="7E5893EF" w:rsidR="00886873" w:rsidRPr="00A438B9" w:rsidRDefault="002932C8" w:rsidP="0029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en trekt hieruit conclusies voor het verdere leren.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CFAC90A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438B9" w14:paraId="2C7619D0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C280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715993" w14:textId="77777777" w:rsidR="00177908" w:rsidRPr="00A438B9" w:rsidRDefault="00177908" w:rsidP="00681F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865BA2" w14:textId="77777777" w:rsidR="00177908" w:rsidRPr="00A438B9" w:rsidRDefault="00177908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A438B9" w14:paraId="0BF87862" w14:textId="77777777" w:rsidTr="00A438B9">
        <w:trPr>
          <w:trHeight w:val="1562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0BC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75C731" w14:textId="1A21EB77" w:rsidR="00886873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Ziet leerlingen, collega’s en observaties als bronnen van informatie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verzamelt hierbij gericht informatie vanuit eigen leervragen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gebruikt deze informatie om het effect van het eigen handelen te begrijpen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om de eigen onderwijspraktijk te verantwoorden en te verbeteren.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7536D" w14:textId="77777777" w:rsidR="00886873" w:rsidRPr="00A438B9" w:rsidRDefault="00886873" w:rsidP="00681F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11770A4B" w14:textId="77777777" w:rsidTr="00A438B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FDC6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A7B48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(4) Bepaalt een eigen positie in de school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57A3" w14:textId="77777777" w:rsidR="00FC775B" w:rsidRPr="00A438B9" w:rsidRDefault="00FC775B" w:rsidP="00D4467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C775B" w:rsidRPr="00A438B9" w14:paraId="3154C643" w14:textId="77777777" w:rsidTr="00A438B9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9F50" w14:textId="77777777" w:rsidR="00FC775B" w:rsidRPr="00A438B9" w:rsidRDefault="00FC775B" w:rsidP="00D446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73DCB9" w14:textId="79E2AD2B" w:rsidR="00FC775B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Informeert naar verschillende opvattingen en visies in de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relateert deze aan de vormgeving van het onderwijs op school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trekt hieruit consequenties voor zichzelf en de eigen lespraktijk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brengt vanuit eigen visie ideeën en materialen in die waardevol zijn voor team/sectie.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78E8E" w14:textId="77777777" w:rsidR="00FC775B" w:rsidRPr="00A438B9" w:rsidRDefault="00FC775B" w:rsidP="00D4467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C46C8AA" w14:textId="77777777" w:rsidR="00EE5793" w:rsidRDefault="00EE5793"/>
    <w:p w14:paraId="628CF0CE" w14:textId="77777777" w:rsidR="00A438B9" w:rsidRDefault="00A438B9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  <w:gridCol w:w="3402"/>
      </w:tblGrid>
      <w:tr w:rsidR="00A438B9" w:rsidRPr="00A438B9" w14:paraId="2BCF2079" w14:textId="77777777" w:rsidTr="00F679AB">
        <w:tc>
          <w:tcPr>
            <w:tcW w:w="2835" w:type="dxa"/>
            <w:tcBorders>
              <w:bottom w:val="single" w:sz="4" w:space="0" w:color="auto"/>
            </w:tcBorders>
          </w:tcPr>
          <w:p w14:paraId="53FF00E0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D17CBE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AB9065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A438B9" w:rsidRPr="00A438B9" w14:paraId="3ED4D3F2" w14:textId="77777777" w:rsidTr="00E6205E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D9B1F" w14:textId="77777777" w:rsidR="00A438B9" w:rsidRPr="00A438B9" w:rsidRDefault="00A438B9" w:rsidP="00E6205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A438B9" w:rsidRPr="00A438B9" w14:paraId="503EA6B5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3C309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D4C3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01EC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46AE2E4A" w14:textId="77777777" w:rsidTr="00F679AB">
        <w:trPr>
          <w:trHeight w:val="10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E3DC8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FCCB74" w14:textId="4D676C5A" w:rsidR="00A438B9" w:rsidRPr="00A438B9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is zich hierbij bewust van mogelijke vooroordelen, aannames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>, eigen ervaringen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van meerdere perspectieven om naar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leerlingen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 te kijken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zoekt ruimte om deze ook samen te verkennen in gesprek met collega’s.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61848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17CFD3CC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32A633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EB9C8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(6) Stemt pedagogisch handelen af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23E4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7FFAE2F7" w14:textId="77777777" w:rsidTr="00F679AB">
        <w:trPr>
          <w:trHeight w:val="100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CF727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5E2E02" w14:textId="5EC3B92D" w:rsidR="00A438B9" w:rsidRPr="002932C8" w:rsidRDefault="002932C8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Bespreekt het eigen pedagogisch handelen met collega’s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staat daarbij open voor suggesties van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>hen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31E9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stemt het eigen pedagogisch handelen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met hen af,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en </w:t>
            </w:r>
            <w:r w:rsidR="000979F6">
              <w:rPr>
                <w:rFonts w:ascii="Calibri Light" w:hAnsi="Calibri Light" w:cs="Calibri Light"/>
                <w:sz w:val="24"/>
                <w:szCs w:val="24"/>
              </w:rPr>
              <w:t xml:space="preserve">ook met ouders van leerlingen.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7B155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57BAFD28" w14:textId="77777777" w:rsidTr="00F679AB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B32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9FF49B" w14:textId="77777777" w:rsidR="00A438B9" w:rsidRPr="00A438B9" w:rsidRDefault="00A438B9" w:rsidP="00E620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38B9">
              <w:rPr>
                <w:rFonts w:ascii="Calibri Light" w:hAnsi="Calibri Light" w:cs="Calibri Light"/>
                <w:b/>
                <w:sz w:val="24"/>
                <w:szCs w:val="24"/>
              </w:rPr>
              <w:t>(7) Neemt deel aan de schoolorganisatie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B72D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8B9" w:rsidRPr="00A438B9" w14:paraId="5013033F" w14:textId="77777777" w:rsidTr="00F679AB">
        <w:trPr>
          <w:trHeight w:val="190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8ED022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D8E1C5" w14:textId="52DA045A" w:rsidR="00A438B9" w:rsidRPr="00A438B9" w:rsidRDefault="000979F6" w:rsidP="00F31E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79F6">
              <w:rPr>
                <w:rFonts w:ascii="Calibri Light" w:hAnsi="Calibri Light" w:cs="Calibri Light"/>
                <w:sz w:val="24"/>
                <w:szCs w:val="24"/>
              </w:rPr>
              <w:t>Voert les-gebonden taken uit, en neemt deel aan niet-les gebonden activiteiten met leerlingen en/of ouders, en aan overleg/vergaderingen met collega’s</w:t>
            </w:r>
            <w:r>
              <w:rPr>
                <w:rFonts w:ascii="Calibri Light" w:hAnsi="Calibri Light" w:cs="Calibri Light"/>
                <w:sz w:val="24"/>
                <w:szCs w:val="24"/>
              </w:rPr>
              <w:t>, en levert daarbij een eigen inbreng.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59EE2C" w14:textId="77777777" w:rsidR="00A438B9" w:rsidRPr="00A438B9" w:rsidRDefault="00A438B9" w:rsidP="00E6205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4706C12" w14:textId="77777777" w:rsidR="00A438B9" w:rsidRDefault="00A438B9" w:rsidP="00A438B9"/>
    <w:p w14:paraId="67EE9C65" w14:textId="77777777" w:rsidR="00A438B9" w:rsidRDefault="00A438B9"/>
    <w:p w14:paraId="47F2AED3" w14:textId="77777777" w:rsidR="00EE5793" w:rsidRDefault="00EE5793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917E03" w:rsidRPr="00A438B9" w14:paraId="410548BA" w14:textId="77777777" w:rsidTr="00FC775B">
        <w:tc>
          <w:tcPr>
            <w:tcW w:w="2835" w:type="dxa"/>
            <w:tcBorders>
              <w:bottom w:val="single" w:sz="4" w:space="0" w:color="auto"/>
            </w:tcBorders>
          </w:tcPr>
          <w:p w14:paraId="4429B037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E5A0679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B7174A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2CEB0A81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3CF0E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A438B9" w14:paraId="192DB3A5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EB61B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CFFF9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4EF51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293365D" w14:textId="77777777" w:rsidTr="00FC775B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5183C8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57DDB3" w14:textId="69D3F76B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Ziet het effect van de eigen manier van communiceren op leerlingen,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past de eigen manier van communiceren daarop aan,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zet daarbij diverse vormen van communicatief gedrag in, en communiceert daarmee doelgericht met leerlingen en collega’s.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14E0E3E3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0133E210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99386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484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F7261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37D3C621" w14:textId="77777777" w:rsidTr="00FC775B">
        <w:trPr>
          <w:trHeight w:val="61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7425CD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A29166" w14:textId="39065EF9" w:rsidR="002932C8" w:rsidRPr="002932C8" w:rsidRDefault="002932C8" w:rsidP="002932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1B12CEF7" w14:textId="448A13DA" w:rsidR="00886873" w:rsidRPr="00A438B9" w:rsidRDefault="002932C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ziet en benut momenten om hierop invloed uit te oefenen, en helpt leerlingen hierbij het effect van hun gedrag te zien, en maak omgangsvormen onderwerp van gesprek met de klas. 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B9AAC61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056543A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49F01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34B9F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FE377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DDA03E0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29F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32147" w14:textId="78D34EEF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Zoekt naar manieren om gewenst gedrag van leerlingen te bevorderen,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corrigeert ongewenst gedrag,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maakt gedragsregels expliciet, en maakt heldere afspraken met leerlingen, en hanteert regels en afspraken duidelijk met behoud van een positieve relatie.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06BF2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3A4D3B65" w14:textId="77777777" w:rsidTr="0067738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D80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B6C90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B6A2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372F80D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3AA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A37AFC" w14:textId="66468C55" w:rsidR="00886873" w:rsidRPr="00A438B9" w:rsidRDefault="000979F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op, en s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ignaleert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gewenste en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ongewenste groepsprocessen,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en probeert het groepsproces te sturen en te begeleiden,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zet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gericht 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>pedagogische maatregelen in om het groepsproces en positief te beïnvloeden.</w:t>
            </w:r>
            <w:r w:rsidR="00A438B9"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1F0E3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A2DE6B" w14:textId="77777777" w:rsidR="00A438B9" w:rsidRDefault="00A438B9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438B9" w:rsidRPr="00A438B9" w14:paraId="55C4BBDF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7F3B8496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95A66E7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2A81DD" w14:textId="77777777" w:rsidR="00A438B9" w:rsidRPr="00A438B9" w:rsidRDefault="00A438B9" w:rsidP="00E620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438B9" w14:paraId="76E71DD8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49E0" w14:textId="77777777" w:rsidR="00917E03" w:rsidRPr="00A438B9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A438B9" w14:paraId="1ACB4E36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0E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AAA8C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9007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5DF16F25" w14:textId="77777777" w:rsidTr="00FC775B">
        <w:trPr>
          <w:trHeight w:val="69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84363A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2102EB" w14:textId="77777777" w:rsidR="00A438B9" w:rsidRPr="00A438B9" w:rsidRDefault="00A438B9" w:rsidP="00A438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maken,</w:t>
            </w:r>
          </w:p>
          <w:p w14:paraId="35B13959" w14:textId="350B030C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ziet wat er speelt bij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zorgt ervoor dat leerlingen zich op hun gemak voelen, en stemt continu het contact met leerlingen af in het moment. 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1EBD6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25B019E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1C8C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BFD761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655A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5DCB8D59" w14:textId="77777777" w:rsidTr="00A438B9">
        <w:trPr>
          <w:trHeight w:val="549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9DA20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DA9CB0" w14:textId="43E36F74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erkent het perspectief van leerlingen,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bouwt bewust aan een band met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realiseert een sfeer van wederzijds vertrouwen.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C51B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204BDF1B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FA88CA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E9814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2A49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9019766" w14:textId="77777777" w:rsidTr="00FC775B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AC536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191AB1" w14:textId="57308B0D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Praat met leerlingen over school, leren en hun prestaties, en over hun verdere ontwikkeling en hun interesses, ervaringen, en probeert hen hierin verder te helpen (gesprekjes, feedback, stimuleren),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doet dit professioneel en betrekt hierbij waar nodig ouders en anderen in de school.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219FEF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33D2D505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FC65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48E73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9B0DC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1B41D8A5" w14:textId="77777777" w:rsidTr="00FC775B">
        <w:trPr>
          <w:trHeight w:val="93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647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F7B57E" w14:textId="49E21BA5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stimuleert leerlingen om het eigen werk te plannen,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zet activiteiten in die leerlingen inzicht bieden in hun eigen leerproces,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stimuleert leerlingen om delen van hun leerproces zelf vorm te geven.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FA4BFD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438B9" w14:paraId="0FBF2E53" w14:textId="77777777" w:rsidTr="00FC775B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11B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E775F" w14:textId="77777777" w:rsidR="00917E03" w:rsidRPr="00A438B9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(9) Speelt in op verschillen in sociaal-emotionele ontwikkeling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3D4" w14:textId="77777777" w:rsidR="00917E03" w:rsidRPr="00A438B9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438B9" w14:paraId="43B83D2F" w14:textId="77777777" w:rsidTr="00FC775B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0E59E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55B279" w14:textId="77777777" w:rsidR="00A438B9" w:rsidRPr="00A438B9" w:rsidRDefault="00A438B9" w:rsidP="00A438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Herleidt gedrag soms tot sociaal-emotionele ontwikkeling van leerlingen,</w:t>
            </w:r>
          </w:p>
          <w:p w14:paraId="1C1C5D2E" w14:textId="44E23C99" w:rsidR="00886873" w:rsidRPr="00A438B9" w:rsidRDefault="00A438B9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signaleert en benoemt verschillen tussen leerlingen qua sociaal-emotionele ontwikkeling,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38B9">
              <w:rPr>
                <w:rFonts w:asciiTheme="majorHAnsi" w:hAnsiTheme="majorHAnsi" w:cstheme="majorHAnsi"/>
                <w:sz w:val="24"/>
                <w:szCs w:val="24"/>
              </w:rPr>
              <w:t>en problemen of belemmeringen hierin,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en zoekt naar manieren om hierbij passend te handelen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F7C17" w14:textId="77777777" w:rsidR="00886873" w:rsidRPr="00A438B9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D49883" w14:textId="298B3867" w:rsidR="00F31E9B" w:rsidRDefault="00F31E9B" w:rsidP="00FC775B">
      <w:pPr>
        <w:spacing w:after="0" w:line="240" w:lineRule="auto"/>
      </w:pPr>
    </w:p>
    <w:p w14:paraId="5CFF9AA9" w14:textId="77777777" w:rsidR="00F31E9B" w:rsidRDefault="00F31E9B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77388" w:rsidRPr="00A438B9" w14:paraId="646D41C3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51EBA38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7EDF00C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1EF36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77388" w:rsidRPr="00A438B9" w14:paraId="7AA9A3BA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0B346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A71A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97CD3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6EC1EE1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1F77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2ECA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6E778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28EDB550" w14:textId="77777777" w:rsidTr="00E6205E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69775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847669" w14:textId="46A17D51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formuleert zelf concrete en specifieke leerdoelen,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7928F46A" w14:textId="18DE7B1D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zorgt voor variatie in en samenhang tussen de leerdoelen,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aansluiting bij curriculumdoelen (PTA, examens, leerlijnen).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335904D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44D9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81A6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79100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282B9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52141F4" w14:textId="77777777" w:rsidTr="00E6205E">
        <w:trPr>
          <w:trHeight w:val="61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566B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C7D6E6" w14:textId="48E1E0B9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Kiest leeractiviteiten en werkvormen, en stemt deze af op de leerdoelen, en op de beginsituatie van de leerlingen en op het vakspecifieke onderdeel,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past deze aan zodat ze effectief, efficiënt en aantrekkelijk zijn.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6A8BED7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4F8A2B37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BEAB5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97FD04" w14:textId="4408ECCF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="00C447BE" w:rsidRPr="00C447BE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26570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28227640" w14:textId="77777777" w:rsidTr="00677388">
        <w:trPr>
          <w:trHeight w:val="89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B94C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1668F77" w14:textId="1B177C5E" w:rsidR="00C447BE" w:rsidRPr="00C447BE" w:rsidRDefault="00C447BE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signaleert hoe dit interactie beperkt en mogelijk maakt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  <w:p w14:paraId="7F0E499D" w14:textId="3DF8E7AC" w:rsidR="00677388" w:rsidRPr="00A438B9" w:rsidRDefault="00C447BE" w:rsidP="000979F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>probeert alternatieve lokaalinrichtingen uit, en kiest bewust de lokaalinrichting die de gewenste interactie bevordert.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09C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2BC244D" w14:textId="77777777" w:rsidTr="0067738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B1E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19DE2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B4B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7F9422F1" w14:textId="77777777" w:rsidTr="00677388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8AEB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A569B" w14:textId="4C8B88C6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tussen opeenvolgende lessen,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binnen een leereenheid rond een hoofdstuk, onderwerp of project,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met curriculumdoelen (PTA, examens, leerlijnen).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45B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0D70DB" w14:textId="77777777" w:rsidR="00677388" w:rsidRDefault="00677388" w:rsidP="00FC775B">
      <w:pPr>
        <w:spacing w:after="0" w:line="240" w:lineRule="auto"/>
      </w:pPr>
    </w:p>
    <w:p w14:paraId="2BAF84C2" w14:textId="77777777" w:rsidR="00677388" w:rsidRDefault="00677388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977"/>
      </w:tblGrid>
      <w:tr w:rsidR="00677388" w:rsidRPr="00A438B9" w14:paraId="5620AADC" w14:textId="77777777" w:rsidTr="00677388">
        <w:tc>
          <w:tcPr>
            <w:tcW w:w="2694" w:type="dxa"/>
            <w:tcBorders>
              <w:bottom w:val="single" w:sz="4" w:space="0" w:color="auto"/>
            </w:tcBorders>
          </w:tcPr>
          <w:p w14:paraId="0784E26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FEED17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E70E6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77388" w:rsidRPr="00A438B9" w14:paraId="50467CE6" w14:textId="77777777" w:rsidTr="00677388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7962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86D5F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8C47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ADE16F2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51B5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5518B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EB3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1D6A1AF" w14:textId="77777777" w:rsidTr="00677388">
        <w:trPr>
          <w:trHeight w:val="886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22F398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E7D21B" w14:textId="6FC01D1A" w:rsidR="00677388" w:rsidRPr="00A438B9" w:rsidRDefault="00677388" w:rsidP="006773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Geeft begrijpelijke instructies,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zorgt daarmee dat leerlingen weten wat van hen verwacht wordt,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stemt deze goed af op de taalbeheersing van alle leerlingen, en doet dit ook effectief bij complexere werkvormen.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41F0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C100B75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5B07D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504CD4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B4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B95526A" w14:textId="77777777" w:rsidTr="00677388">
        <w:trPr>
          <w:trHeight w:val="116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94657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C0D1D78" w14:textId="52849150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probeert wisselmomenten en lesovergangen efficiënt te laten verlopen,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organiseert lessen efficiënt zodat weinig leertijd verloren gaat,</w:t>
            </w:r>
          </w:p>
          <w:p w14:paraId="7E3074D5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gaat daarbij ook flexibel om met onverwachte situaties.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354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16D19683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75843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52058A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(7) Activeert leerlingen, ook als leerbron voor elkaar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5B12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0B35E263" w14:textId="77777777" w:rsidTr="00677388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7D252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03BAF51" w14:textId="06B81C91" w:rsidR="00677388" w:rsidRPr="00677388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Zet werkvormen in die (inter)actief leren stimuleren, en stelt hierbij vragen en geeft taken die leerlingen tot nadenken aanzetten,</w:t>
            </w:r>
          </w:p>
          <w:p w14:paraId="4832D91A" w14:textId="1A6A4016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moedigt leerlingen hierbij aan elkaar vragen te stellen en uitleg te geven,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 xml:space="preserve">en realiseert hierin betrokkenheid en actieve deelname van leerlingen.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F83F3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826DEFC" w14:textId="77777777" w:rsidTr="00677388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307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2DCD3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(8) Stemt af op verschillen in beheersing van de lesstof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56DA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3EA7C855" w14:textId="77777777" w:rsidTr="00677388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531B4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969C71" w14:textId="5E455581" w:rsidR="00677388" w:rsidRPr="00A438B9" w:rsidRDefault="00C447BE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Ziet verschillen tussen leerlingen qua tempo en beheersing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speelt ad hoc op deze verschillen 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biedt activiteiten die ruimte bieden voor deze verschillen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organiseert af en toe taken, materialen en/of hulp op maat.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C5DCF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6173BD4E" w14:textId="77777777" w:rsidTr="00677388">
        <w:trPr>
          <w:trHeight w:val="207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B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8EE559" w14:textId="77777777" w:rsidR="00677388" w:rsidRPr="00A438B9" w:rsidRDefault="00677388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>(9) Besteedt aandacht aan leerstrategieën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2EF7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77388" w:rsidRPr="00A438B9" w14:paraId="7F10948C" w14:textId="77777777" w:rsidTr="00677388">
        <w:trPr>
          <w:trHeight w:val="83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231AD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765E0E" w14:textId="7DC3372E" w:rsidR="00677388" w:rsidRPr="00A438B9" w:rsidRDefault="00677388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Geeft leerlingen aanwijzingen voor het oplossen en aanpakken van taken,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laat hen hardop nadenken over hun oplossingen en antwoorden, en stimuleert het gebruik van controle activiteiten door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77388">
              <w:rPr>
                <w:rFonts w:asciiTheme="majorHAnsi" w:hAnsiTheme="majorHAnsi" w:cstheme="majorHAnsi"/>
                <w:sz w:val="24"/>
                <w:szCs w:val="24"/>
              </w:rPr>
              <w:t>en vraagt ze na te denken over strategieën bij hun aanpak, (stappen uit te leggen, strategieën te vergelijken).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32789" w14:textId="77777777" w:rsidR="00677388" w:rsidRPr="00A438B9" w:rsidRDefault="00677388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1FC0A3" w14:textId="77777777" w:rsidR="00763832" w:rsidRDefault="00763832" w:rsidP="00FC775B">
      <w:pPr>
        <w:spacing w:after="0" w:line="240" w:lineRule="auto"/>
      </w:pPr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D05A3" w:rsidRPr="00A23696" w14:paraId="4F562540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6F2DF7C4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1871024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830B52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D05A3" w:rsidRPr="00A23696" w14:paraId="3232CD0E" w14:textId="77777777" w:rsidTr="00EE579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DFE7A2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61475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A7D8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5E1ACE9A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165C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A7F61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557EC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23696" w14:paraId="2360038B" w14:textId="77777777" w:rsidTr="00A23696">
        <w:trPr>
          <w:trHeight w:val="1791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74C9EE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737D17" w14:textId="77777777" w:rsidR="00A23696" w:rsidRPr="00A23696" w:rsidRDefault="00A23696" w:rsidP="00A23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begrijpen,</w:t>
            </w:r>
          </w:p>
          <w:p w14:paraId="2493010E" w14:textId="30D53822" w:rsidR="00886873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of zij de lesdoelen bereiken,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stelt op basis hiervan inhoud en/of didactiek van volgende lessen bij,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 xml:space="preserve">en zet hierbij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gericht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verschillende formatieve technieken in.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69C406A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2C29E5C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4A79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E1941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C4CD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A23696" w14:paraId="698E3F8F" w14:textId="77777777" w:rsidTr="00EE5793">
        <w:trPr>
          <w:trHeight w:val="142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1066A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D111D9" w14:textId="7AFAA3B2" w:rsidR="00886873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zoekt naar onderbouwing van deze keuzes vanuit praktijkkennis en theorie,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evalueert deze keuzes in de eigen onderwijspraktijk,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47BE" w:rsidRPr="00C447BE">
              <w:rPr>
                <w:rFonts w:asciiTheme="majorHAnsi" w:hAnsiTheme="majorHAnsi" w:cstheme="majorHAnsi"/>
                <w:sz w:val="24"/>
                <w:szCs w:val="24"/>
              </w:rPr>
              <w:t>en ontwikkelt gestructureerd handelingsalternatieven vanuit inzicht in theorie.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22A686CE" w14:textId="77777777" w:rsidR="00886873" w:rsidRPr="00A23696" w:rsidRDefault="0088687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790E967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95008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F8C7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(12) Toetst leeruitkomsten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27DB23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A23696" w14:paraId="77F5AB4A" w14:textId="77777777" w:rsidTr="00A23696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F61BF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645A272" w14:textId="77777777" w:rsidR="00A23696" w:rsidRPr="00A23696" w:rsidRDefault="00A23696" w:rsidP="00A23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Gebruikt gegeven toetsen en correctie modellen (collega's, schoolboek),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2F026547" w14:textId="2FEED537" w:rsidR="006F75D7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signaleert verbetermogelijkheden, en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past </w:t>
            </w:r>
            <w:r w:rsidR="00F679AB">
              <w:rPr>
                <w:rFonts w:asciiTheme="majorHAnsi" w:hAnsiTheme="majorHAnsi" w:cstheme="majorHAnsi"/>
                <w:sz w:val="24"/>
                <w:szCs w:val="24"/>
              </w:rPr>
              <w:t>de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 aan of verbetert deze waar nodig, en zorgt dat deze de leerdoelen en lesinhouden afdekken.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43082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23696" w14:paraId="294F756D" w14:textId="77777777" w:rsidTr="00A23696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56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5A89FC" w14:textId="77777777" w:rsidR="006D05A3" w:rsidRPr="00A23696" w:rsidRDefault="006D05A3" w:rsidP="00FC77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(13) Signaleert leermoeilijkheden in het 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56EB" w14:textId="77777777" w:rsidR="006D05A3" w:rsidRPr="00A23696" w:rsidRDefault="006D05A3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A23696" w14:paraId="58BF698E" w14:textId="77777777" w:rsidTr="00A23696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89A68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C28F4" w14:textId="4F80FBC7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Neemt kennis van leermoeilijkheden van leerlingen in het schoolvak,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signaleert deze bij het voorbereiden, uitvoeren en/of evalueren van onderwijsactiviteiten,</w:t>
            </w:r>
          </w:p>
          <w:p w14:paraId="290213CD" w14:textId="71528EE5" w:rsidR="006F75D7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zoekt daarvoor oplossingen, indien nodig samen met collega’s,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zet deze oplossingen in binnen de context van de les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 of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 verwijst leerlingen door.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E75F0" w14:textId="77777777" w:rsidR="006F75D7" w:rsidRPr="00A23696" w:rsidRDefault="006F75D7" w:rsidP="00FC775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413F9B" w14:textId="77777777" w:rsidR="00A23696" w:rsidRDefault="00A23696"/>
    <w:p w14:paraId="5C320109" w14:textId="77777777" w:rsidR="00A23696" w:rsidRDefault="00A23696"/>
    <w:p w14:paraId="055EAD69" w14:textId="77777777" w:rsidR="00A23696" w:rsidRDefault="00A23696"/>
    <w:p w14:paraId="1C2F4148" w14:textId="301DABDB" w:rsidR="00F31E9B" w:rsidRDefault="00F31E9B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23696" w:rsidRPr="00A23696" w14:paraId="3269171D" w14:textId="77777777" w:rsidTr="00E6205E">
        <w:tc>
          <w:tcPr>
            <w:tcW w:w="2835" w:type="dxa"/>
            <w:tcBorders>
              <w:bottom w:val="single" w:sz="4" w:space="0" w:color="auto"/>
            </w:tcBorders>
          </w:tcPr>
          <w:p w14:paraId="723E6B6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AC2AD5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41F7E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A23696" w:rsidRPr="00A23696" w14:paraId="5EA911F0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9492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86121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9322C1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75453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21D80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26DE7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vakinhoud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E573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15745182" w14:textId="77777777" w:rsidTr="00E6205E">
        <w:trPr>
          <w:trHeight w:val="886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8ADA63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2F0BE1" w14:textId="1E06E49B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Gebruikt de methode als leidraad,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voegt vak inhoud toe, (actualiteit, voorbeelden, toepassingen, verrijking),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verzorgt onderwijs los van de methode, en selecteert zelfstandig vak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inhouden en leermiddelen vanuit 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akkennis die de methode overstijgt.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78F60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11B5EFED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67B6FA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36AFC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4168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75D091E6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2F8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E4F0A" w14:textId="1551607D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verbindt dit met de leef- en belevingswereld van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maakt de gebruikswaarde van de leerstof duidelijk  voor leerlingen,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wekt daarmee betrokkenheid van leerlingen en interesse voor het schoolvak.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AF89D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5394D4E9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A0FE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DC2D" w14:textId="77777777" w:rsidR="00A23696" w:rsidRPr="00A23696" w:rsidRDefault="00A23696" w:rsidP="00E6205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575" w14:textId="77777777" w:rsidR="00A23696" w:rsidRPr="00A23696" w:rsidRDefault="00A23696" w:rsidP="00E620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23696" w:rsidRPr="00A23696" w14:paraId="37E9A92D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EB5" w14:textId="77777777" w:rsidR="00A23696" w:rsidRPr="00A23696" w:rsidRDefault="00A23696" w:rsidP="00E6205E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B38F" w14:textId="31991D8A" w:rsidR="00A23696" w:rsidRPr="00A23696" w:rsidRDefault="00A23696" w:rsidP="00F31E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Verkent de eigen visie op de inhoud en didactiek van het schoolvak,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relateert deze aan de visie van de vaksectie,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aan landelijke eindtermen en het examenprogramma,</w:t>
            </w:r>
            <w:r w:rsidR="00F31E9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>en aan de missie en visie van de school</w:t>
            </w:r>
            <w:r w:rsidR="000979F6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3696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5109" w14:textId="77777777" w:rsidR="00A23696" w:rsidRPr="00A23696" w:rsidRDefault="00A23696" w:rsidP="00E6205E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0BF433" w14:textId="77777777" w:rsidR="00E41FF5" w:rsidRDefault="00E41FF5"/>
    <w:sectPr w:rsidR="00E41FF5" w:rsidSect="003E4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DAC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48B4B392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F41" w14:textId="77777777" w:rsidR="003D575C" w:rsidRDefault="003D5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C306" w14:textId="77777777" w:rsidR="003D575C" w:rsidRDefault="003D5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CB41" w14:textId="77777777" w:rsidR="003D575C" w:rsidRDefault="003D5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BA1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9011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592440F2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5EDC689E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CDB5" w14:textId="77777777" w:rsidR="003D575C" w:rsidRDefault="003D5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1404" w14:textId="097284D3" w:rsidR="00C447BE" w:rsidRPr="00323258" w:rsidRDefault="00897FCE" w:rsidP="000F2EE5">
    <w:pPr>
      <w:pStyle w:val="Header"/>
      <w:rPr>
        <w:sz w:val="24"/>
        <w:lang w:val="en-US"/>
      </w:rPr>
    </w:pPr>
    <w:r>
      <w:rPr>
        <w:sz w:val="24"/>
        <w:lang w:val="en-US"/>
      </w:rPr>
      <w:t>Single Point Rubric Stage Radboud Docenten Academie 202</w:t>
    </w:r>
    <w:r w:rsidR="003D575C">
      <w:rPr>
        <w:sz w:val="24"/>
        <w:lang w:val="en-US"/>
      </w:rPr>
      <w:t>4</w:t>
    </w:r>
    <w:r>
      <w:rPr>
        <w:sz w:val="24"/>
        <w:lang w:val="en-US"/>
      </w:rPr>
      <w:t>-202</w:t>
    </w:r>
    <w:r w:rsidR="003D575C">
      <w:rPr>
        <w:sz w:val="24"/>
        <w:lang w:val="en-US"/>
      </w:rPr>
      <w:t>5</w:t>
    </w:r>
    <w:r>
      <w:rPr>
        <w:sz w:val="24"/>
        <w:lang w:val="en-US"/>
      </w:rPr>
      <w:t xml:space="preserve"> </w:t>
    </w:r>
    <w:r w:rsidR="000F2EE5">
      <w:rPr>
        <w:sz w:val="24"/>
        <w:lang w:val="en-US"/>
      </w:rPr>
      <w:t xml:space="preserve"> – </w:t>
    </w:r>
    <w:r w:rsidR="00C447BE">
      <w:rPr>
        <w:sz w:val="24"/>
        <w:lang w:val="en-US"/>
      </w:rPr>
      <w:t>Streefniveau 4</w:t>
    </w:r>
  </w:p>
  <w:p w14:paraId="2A559C11" w14:textId="5961C5B8" w:rsidR="00763832" w:rsidRPr="00C447BE" w:rsidRDefault="00763832" w:rsidP="00C44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06D1" w14:textId="77777777" w:rsidR="003D575C" w:rsidRDefault="003D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6BE"/>
    <w:multiLevelType w:val="hybridMultilevel"/>
    <w:tmpl w:val="8FD0A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13964">
    <w:abstractNumId w:val="0"/>
  </w:num>
  <w:num w:numId="2" w16cid:durableId="1249925808">
    <w:abstractNumId w:val="1"/>
  </w:num>
  <w:num w:numId="3" w16cid:durableId="56206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0979F6"/>
    <w:rsid w:val="000F2EE5"/>
    <w:rsid w:val="00175BCE"/>
    <w:rsid w:val="00177908"/>
    <w:rsid w:val="00253BC1"/>
    <w:rsid w:val="0027600F"/>
    <w:rsid w:val="002932C8"/>
    <w:rsid w:val="0029783C"/>
    <w:rsid w:val="003001F8"/>
    <w:rsid w:val="003D575C"/>
    <w:rsid w:val="003D5E0A"/>
    <w:rsid w:val="003E4530"/>
    <w:rsid w:val="004B6FCC"/>
    <w:rsid w:val="00593485"/>
    <w:rsid w:val="0059494B"/>
    <w:rsid w:val="005D7106"/>
    <w:rsid w:val="00677388"/>
    <w:rsid w:val="00681FF8"/>
    <w:rsid w:val="006A7D1C"/>
    <w:rsid w:val="006D05A3"/>
    <w:rsid w:val="006D38AD"/>
    <w:rsid w:val="006F75D7"/>
    <w:rsid w:val="00703591"/>
    <w:rsid w:val="00763832"/>
    <w:rsid w:val="007C7645"/>
    <w:rsid w:val="007F744C"/>
    <w:rsid w:val="0083368D"/>
    <w:rsid w:val="00850194"/>
    <w:rsid w:val="00886873"/>
    <w:rsid w:val="00897FCE"/>
    <w:rsid w:val="00917E03"/>
    <w:rsid w:val="009572A6"/>
    <w:rsid w:val="009B7C85"/>
    <w:rsid w:val="009F5B96"/>
    <w:rsid w:val="00A23696"/>
    <w:rsid w:val="00A438B9"/>
    <w:rsid w:val="00A51F3C"/>
    <w:rsid w:val="00C447BE"/>
    <w:rsid w:val="00CE4B34"/>
    <w:rsid w:val="00D36AAA"/>
    <w:rsid w:val="00E41FF5"/>
    <w:rsid w:val="00EE5793"/>
    <w:rsid w:val="00EF7E31"/>
    <w:rsid w:val="00F31E9B"/>
    <w:rsid w:val="00F679AB"/>
    <w:rsid w:val="00F863AC"/>
    <w:rsid w:val="00FA2289"/>
    <w:rsid w:val="00FC775B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DB7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7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4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120E-805B-48A2-81A8-C4558F6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1779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Krosse, H.A.T. de (Hedwig)</cp:lastModifiedBy>
  <cp:revision>3</cp:revision>
  <dcterms:created xsi:type="dcterms:W3CDTF">2024-06-04T16:14:00Z</dcterms:created>
  <dcterms:modified xsi:type="dcterms:W3CDTF">2024-06-04T16:14:00Z</dcterms:modified>
</cp:coreProperties>
</file>